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CAE5" w14:textId="77777777" w:rsidR="00E67EC7" w:rsidRPr="004968EB" w:rsidRDefault="00E67EC7" w:rsidP="004968EB">
      <w:pPr>
        <w:spacing w:after="0"/>
        <w:jc w:val="center"/>
        <w:rPr>
          <w:rFonts w:ascii="Times New Roman" w:hAnsi="Times New Roman"/>
          <w:b/>
          <w:noProof/>
          <w:sz w:val="24"/>
          <w:szCs w:val="24"/>
          <w:lang w:val="sq-AL"/>
        </w:rPr>
      </w:pPr>
      <w:r w:rsidRPr="004968EB">
        <w:rPr>
          <w:rFonts w:ascii="Times New Roman" w:hAnsi="Times New Roman"/>
          <w:b/>
          <w:noProof/>
          <w:sz w:val="24"/>
          <w:szCs w:val="24"/>
          <w:lang w:val="sq-AL"/>
        </w:rPr>
        <w:t>RAPORTI PËRMBLEDHËS</w:t>
      </w:r>
      <w:r w:rsidRPr="004968EB">
        <w:rPr>
          <w:rStyle w:val="FootnoteReference"/>
          <w:rFonts w:ascii="Times New Roman" w:hAnsi="Times New Roman"/>
          <w:b/>
          <w:noProof/>
          <w:sz w:val="24"/>
          <w:szCs w:val="24"/>
          <w:lang w:val="sq-AL"/>
        </w:rPr>
        <w:footnoteReference w:id="1"/>
      </w:r>
      <w:r w:rsidRPr="004968EB">
        <w:rPr>
          <w:rFonts w:ascii="Times New Roman" w:hAnsi="Times New Roman"/>
          <w:b/>
          <w:noProof/>
          <w:sz w:val="24"/>
          <w:szCs w:val="24"/>
          <w:lang w:val="sq-AL"/>
        </w:rPr>
        <w:t xml:space="preserve"> </w:t>
      </w:r>
    </w:p>
    <w:p w14:paraId="03ED8CBC" w14:textId="77777777" w:rsidR="00E67EC7" w:rsidRPr="004968EB" w:rsidRDefault="00E67EC7" w:rsidP="004968EB">
      <w:pPr>
        <w:spacing w:after="0"/>
        <w:jc w:val="center"/>
        <w:rPr>
          <w:rFonts w:ascii="Times New Roman" w:hAnsi="Times New Roman"/>
          <w:b/>
          <w:strike/>
          <w:noProof/>
          <w:sz w:val="24"/>
          <w:szCs w:val="24"/>
          <w:lang w:val="sq-AL"/>
        </w:rPr>
      </w:pPr>
    </w:p>
    <w:p w14:paraId="4B3CBE18" w14:textId="77777777" w:rsidR="00E67EC7" w:rsidRPr="004968EB" w:rsidRDefault="00E67EC7" w:rsidP="004968EB">
      <w:pPr>
        <w:spacing w:after="0"/>
        <w:jc w:val="center"/>
        <w:rPr>
          <w:rFonts w:ascii="Times New Roman" w:hAnsi="Times New Roman"/>
          <w:b/>
          <w:noProof/>
          <w:sz w:val="24"/>
          <w:szCs w:val="24"/>
          <w:lang w:val="sq-AL"/>
        </w:rPr>
      </w:pPr>
      <w:r w:rsidRPr="004968EB">
        <w:rPr>
          <w:rFonts w:ascii="Times New Roman" w:hAnsi="Times New Roman"/>
          <w:b/>
          <w:noProof/>
          <w:sz w:val="24"/>
          <w:szCs w:val="24"/>
          <w:lang w:val="sq-AL"/>
        </w:rPr>
        <w:t>I RAPORTIT VJETOR TË PROKURORIT TË PËRGJITHSHËM</w:t>
      </w:r>
    </w:p>
    <w:p w14:paraId="74558897" w14:textId="45C9919C" w:rsidR="00E67EC7" w:rsidRPr="004968EB" w:rsidRDefault="00E67EC7" w:rsidP="004968EB">
      <w:pPr>
        <w:spacing w:after="0"/>
        <w:jc w:val="center"/>
        <w:rPr>
          <w:rFonts w:ascii="Times New Roman" w:hAnsi="Times New Roman"/>
          <w:b/>
          <w:noProof/>
          <w:sz w:val="24"/>
          <w:szCs w:val="24"/>
          <w:lang w:val="sq-AL"/>
        </w:rPr>
      </w:pPr>
      <w:r w:rsidRPr="004968EB">
        <w:rPr>
          <w:rFonts w:ascii="Times New Roman" w:hAnsi="Times New Roman"/>
          <w:b/>
          <w:noProof/>
          <w:sz w:val="24"/>
          <w:szCs w:val="24"/>
          <w:lang w:val="sq-AL"/>
        </w:rPr>
        <w:t>“MBI GJENDJEN E KRIMINALITETIT PËR VITIN 202</w:t>
      </w:r>
      <w:r w:rsidR="009A73CB">
        <w:rPr>
          <w:rFonts w:ascii="Times New Roman" w:hAnsi="Times New Roman"/>
          <w:b/>
          <w:noProof/>
          <w:sz w:val="24"/>
          <w:szCs w:val="24"/>
          <w:lang w:val="sq-AL"/>
        </w:rPr>
        <w:t>3</w:t>
      </w:r>
      <w:r w:rsidRPr="004968EB">
        <w:rPr>
          <w:rFonts w:ascii="Times New Roman" w:hAnsi="Times New Roman"/>
          <w:b/>
          <w:noProof/>
          <w:sz w:val="24"/>
          <w:szCs w:val="24"/>
          <w:lang w:val="sq-AL"/>
        </w:rPr>
        <w:t>”</w:t>
      </w:r>
    </w:p>
    <w:p w14:paraId="1065FBF3" w14:textId="77777777" w:rsidR="00E67EC7" w:rsidRPr="004968EB" w:rsidRDefault="00E67EC7" w:rsidP="004968EB">
      <w:pPr>
        <w:spacing w:after="0"/>
        <w:jc w:val="both"/>
        <w:rPr>
          <w:rFonts w:ascii="Times New Roman" w:hAnsi="Times New Roman"/>
          <w:noProof/>
          <w:sz w:val="24"/>
          <w:szCs w:val="24"/>
          <w:lang w:val="sq-AL"/>
        </w:rPr>
      </w:pPr>
    </w:p>
    <w:p w14:paraId="49714D69" w14:textId="45178B49" w:rsidR="00B31A7F" w:rsidRPr="004968EB" w:rsidRDefault="00636973" w:rsidP="009A73CB">
      <w:pPr>
        <w:spacing w:after="0"/>
        <w:ind w:firstLine="360"/>
        <w:jc w:val="both"/>
        <w:rPr>
          <w:rFonts w:ascii="Times New Roman" w:hAnsi="Times New Roman"/>
          <w:sz w:val="24"/>
          <w:szCs w:val="24"/>
        </w:rPr>
      </w:pPr>
      <w:proofErr w:type="spellStart"/>
      <w:r w:rsidRPr="004968EB">
        <w:rPr>
          <w:rFonts w:ascii="Times New Roman" w:hAnsi="Times New Roman"/>
          <w:sz w:val="24"/>
          <w:szCs w:val="24"/>
        </w:rPr>
        <w:t>P</w:t>
      </w:r>
      <w:r w:rsidR="00FF1D6E" w:rsidRPr="004968EB">
        <w:rPr>
          <w:rFonts w:ascii="Times New Roman" w:hAnsi="Times New Roman"/>
          <w:sz w:val="24"/>
          <w:szCs w:val="24"/>
        </w:rPr>
        <w:t>ë</w:t>
      </w:r>
      <w:r w:rsidRPr="004968EB">
        <w:rPr>
          <w:rFonts w:ascii="Times New Roman" w:hAnsi="Times New Roman"/>
          <w:sz w:val="24"/>
          <w:szCs w:val="24"/>
        </w:rPr>
        <w:t>rgjat</w:t>
      </w:r>
      <w:r w:rsidR="00FF1D6E" w:rsidRPr="004968EB">
        <w:rPr>
          <w:rFonts w:ascii="Times New Roman" w:hAnsi="Times New Roman"/>
          <w:sz w:val="24"/>
          <w:szCs w:val="24"/>
        </w:rPr>
        <w:t>ë</w:t>
      </w:r>
      <w:proofErr w:type="spellEnd"/>
      <w:r w:rsidR="002616A8" w:rsidRPr="004968EB">
        <w:rPr>
          <w:rFonts w:ascii="Times New Roman" w:hAnsi="Times New Roman"/>
          <w:sz w:val="24"/>
          <w:szCs w:val="24"/>
        </w:rPr>
        <w:t xml:space="preserve"> </w:t>
      </w:r>
      <w:proofErr w:type="spellStart"/>
      <w:r w:rsidR="002616A8" w:rsidRPr="004968EB">
        <w:rPr>
          <w:rFonts w:ascii="Times New Roman" w:hAnsi="Times New Roman"/>
          <w:sz w:val="24"/>
          <w:szCs w:val="24"/>
        </w:rPr>
        <w:t>vitit</w:t>
      </w:r>
      <w:proofErr w:type="spellEnd"/>
      <w:r w:rsidR="002616A8" w:rsidRPr="004968EB">
        <w:rPr>
          <w:rFonts w:ascii="Times New Roman" w:hAnsi="Times New Roman"/>
          <w:sz w:val="24"/>
          <w:szCs w:val="24"/>
        </w:rPr>
        <w:t xml:space="preserve"> 2023</w:t>
      </w:r>
      <w:r w:rsidRPr="004968EB">
        <w:rPr>
          <w:rFonts w:ascii="Times New Roman" w:hAnsi="Times New Roman"/>
          <w:sz w:val="24"/>
          <w:szCs w:val="24"/>
        </w:rPr>
        <w:t xml:space="preserve"> </w:t>
      </w:r>
      <w:r w:rsidR="00B31A7F" w:rsidRPr="004968EB">
        <w:rPr>
          <w:rFonts w:ascii="Times New Roman" w:hAnsi="Times New Roman"/>
          <w:sz w:val="24"/>
          <w:szCs w:val="24"/>
          <w:lang w:val="sq-AL"/>
        </w:rPr>
        <w:t xml:space="preserve">në të gjithë nivelet e prokurorive të juridiksionit të përgjithshëm ka vijuar krijimi i vakancave të përkohshme dhe </w:t>
      </w:r>
      <w:r w:rsidR="002616A8" w:rsidRPr="004968EB">
        <w:rPr>
          <w:rFonts w:ascii="Times New Roman" w:hAnsi="Times New Roman"/>
          <w:sz w:val="24"/>
          <w:szCs w:val="24"/>
          <w:lang w:val="sq-AL"/>
        </w:rPr>
        <w:t>të përhershme deri në 38</w:t>
      </w:r>
      <w:r w:rsidR="00B31A7F" w:rsidRPr="004968EB">
        <w:rPr>
          <w:rFonts w:ascii="Times New Roman" w:hAnsi="Times New Roman"/>
          <w:sz w:val="24"/>
          <w:szCs w:val="24"/>
          <w:lang w:val="sq-AL"/>
        </w:rPr>
        <w:t xml:space="preserve"> % të prokurorëve</w:t>
      </w:r>
      <w:r w:rsidRPr="004968EB">
        <w:rPr>
          <w:rFonts w:ascii="Times New Roman" w:hAnsi="Times New Roman"/>
          <w:sz w:val="24"/>
          <w:szCs w:val="24"/>
          <w:lang w:val="sq-AL"/>
        </w:rPr>
        <w:t xml:space="preserve"> (rivlerësimi kalimtar</w:t>
      </w:r>
      <w:r w:rsidR="00427BFC" w:rsidRPr="004968EB">
        <w:rPr>
          <w:rFonts w:ascii="Times New Roman" w:hAnsi="Times New Roman"/>
          <w:sz w:val="24"/>
          <w:szCs w:val="24"/>
          <w:lang w:val="sq-AL"/>
        </w:rPr>
        <w:t>)</w:t>
      </w:r>
      <w:r w:rsidR="00B31A7F" w:rsidRPr="004968EB">
        <w:rPr>
          <w:rFonts w:ascii="Times New Roman" w:hAnsi="Times New Roman"/>
          <w:sz w:val="24"/>
          <w:szCs w:val="24"/>
        </w:rPr>
        <w:t xml:space="preserve">. </w:t>
      </w:r>
      <w:proofErr w:type="spellStart"/>
      <w:r w:rsidRPr="004968EB">
        <w:rPr>
          <w:rFonts w:ascii="Times New Roman" w:hAnsi="Times New Roman"/>
          <w:sz w:val="24"/>
          <w:szCs w:val="24"/>
        </w:rPr>
        <w:t>Megjith</w:t>
      </w:r>
      <w:r w:rsidR="00FF1D6E" w:rsidRPr="004968EB">
        <w:rPr>
          <w:rFonts w:ascii="Times New Roman" w:hAnsi="Times New Roman"/>
          <w:sz w:val="24"/>
          <w:szCs w:val="24"/>
        </w:rPr>
        <w:t>ë</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problemet</w:t>
      </w:r>
      <w:proofErr w:type="spellEnd"/>
      <w:r w:rsidRPr="004968EB">
        <w:rPr>
          <w:rFonts w:ascii="Times New Roman" w:hAnsi="Times New Roman"/>
          <w:sz w:val="24"/>
          <w:szCs w:val="24"/>
        </w:rPr>
        <w:t xml:space="preserve"> e </w:t>
      </w:r>
      <w:proofErr w:type="spellStart"/>
      <w:r w:rsidRPr="004968EB">
        <w:rPr>
          <w:rFonts w:ascii="Times New Roman" w:hAnsi="Times New Roman"/>
          <w:sz w:val="24"/>
          <w:szCs w:val="24"/>
        </w:rPr>
        <w:t>krijuara</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nga</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k</w:t>
      </w:r>
      <w:r w:rsidR="00FF1D6E" w:rsidRPr="004968EB">
        <w:rPr>
          <w:rFonts w:ascii="Times New Roman" w:hAnsi="Times New Roman"/>
          <w:sz w:val="24"/>
          <w:szCs w:val="24"/>
        </w:rPr>
        <w:t>ë</w:t>
      </w:r>
      <w:r w:rsidRPr="004968EB">
        <w:rPr>
          <w:rFonts w:ascii="Times New Roman" w:hAnsi="Times New Roman"/>
          <w:sz w:val="24"/>
          <w:szCs w:val="24"/>
        </w:rPr>
        <w:t>to</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mungesa</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t</w:t>
      </w:r>
      <w:r w:rsidR="00FF1D6E" w:rsidRPr="004968EB">
        <w:rPr>
          <w:rFonts w:ascii="Times New Roman" w:hAnsi="Times New Roman"/>
          <w:sz w:val="24"/>
          <w:szCs w:val="24"/>
        </w:rPr>
        <w:t>ë</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theksuara</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n</w:t>
      </w:r>
      <w:r w:rsidR="00FF1D6E" w:rsidRPr="004968EB">
        <w:rPr>
          <w:rFonts w:ascii="Times New Roman" w:hAnsi="Times New Roman"/>
          <w:sz w:val="24"/>
          <w:szCs w:val="24"/>
        </w:rPr>
        <w:t>ë</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organik</w:t>
      </w:r>
      <w:r w:rsidR="00FF1D6E" w:rsidRPr="004968EB">
        <w:rPr>
          <w:rFonts w:ascii="Times New Roman" w:hAnsi="Times New Roman"/>
          <w:sz w:val="24"/>
          <w:szCs w:val="24"/>
        </w:rPr>
        <w:t>ë</w:t>
      </w:r>
      <w:proofErr w:type="spellEnd"/>
      <w:r w:rsidRPr="004968EB">
        <w:rPr>
          <w:rFonts w:ascii="Times New Roman" w:hAnsi="Times New Roman"/>
          <w:sz w:val="24"/>
          <w:szCs w:val="24"/>
        </w:rPr>
        <w:t xml:space="preserve">, </w:t>
      </w:r>
      <w:r w:rsidRPr="004968EB">
        <w:rPr>
          <w:rFonts w:ascii="Times New Roman" w:hAnsi="Times New Roman"/>
          <w:noProof/>
          <w:sz w:val="24"/>
          <w:szCs w:val="24"/>
          <w:lang w:val="sq-AL"/>
        </w:rPr>
        <w:t>p</w:t>
      </w:r>
      <w:r w:rsidR="00B31A7F" w:rsidRPr="004968EB">
        <w:rPr>
          <w:rFonts w:ascii="Times New Roman" w:hAnsi="Times New Roman"/>
          <w:noProof/>
          <w:sz w:val="24"/>
          <w:szCs w:val="24"/>
          <w:lang w:val="sq-AL"/>
        </w:rPr>
        <w:t>rokuroritë e juridiksionit të përgjithshëm kanë ushtruar</w:t>
      </w:r>
      <w:r w:rsidRPr="004968EB">
        <w:rPr>
          <w:rFonts w:ascii="Times New Roman" w:hAnsi="Times New Roman"/>
          <w:noProof/>
          <w:sz w:val="24"/>
          <w:szCs w:val="24"/>
          <w:lang w:val="sq-AL"/>
        </w:rPr>
        <w:t xml:space="preserve"> me p</w:t>
      </w:r>
      <w:r w:rsidR="00FF1D6E" w:rsidRPr="004968EB">
        <w:rPr>
          <w:rFonts w:ascii="Times New Roman" w:hAnsi="Times New Roman"/>
          <w:noProof/>
          <w:sz w:val="24"/>
          <w:szCs w:val="24"/>
          <w:lang w:val="sq-AL"/>
        </w:rPr>
        <w:t>ë</w:t>
      </w:r>
      <w:r w:rsidRPr="004968EB">
        <w:rPr>
          <w:rFonts w:ascii="Times New Roman" w:hAnsi="Times New Roman"/>
          <w:noProof/>
          <w:sz w:val="24"/>
          <w:szCs w:val="24"/>
          <w:lang w:val="sq-AL"/>
        </w:rPr>
        <w:t>rgjegj</w:t>
      </w:r>
      <w:r w:rsidR="00FF1D6E" w:rsidRPr="004968EB">
        <w:rPr>
          <w:rFonts w:ascii="Times New Roman" w:hAnsi="Times New Roman"/>
          <w:noProof/>
          <w:sz w:val="24"/>
          <w:szCs w:val="24"/>
          <w:lang w:val="sq-AL"/>
        </w:rPr>
        <w:t>ë</w:t>
      </w:r>
      <w:r w:rsidRPr="004968EB">
        <w:rPr>
          <w:rFonts w:ascii="Times New Roman" w:hAnsi="Times New Roman"/>
          <w:noProof/>
          <w:sz w:val="24"/>
          <w:szCs w:val="24"/>
          <w:lang w:val="sq-AL"/>
        </w:rPr>
        <w:t xml:space="preserve">si </w:t>
      </w:r>
      <w:r w:rsidR="00B31A7F" w:rsidRPr="004968EB">
        <w:rPr>
          <w:rFonts w:ascii="Times New Roman" w:hAnsi="Times New Roman"/>
          <w:noProof/>
          <w:sz w:val="24"/>
          <w:szCs w:val="24"/>
          <w:lang w:val="sq-AL"/>
        </w:rPr>
        <w:t xml:space="preserve">kompetencat bazuar </w:t>
      </w:r>
      <w:r w:rsidR="006F32EF" w:rsidRPr="004968EB">
        <w:rPr>
          <w:rFonts w:ascii="Times New Roman" w:hAnsi="Times New Roman"/>
          <w:noProof/>
          <w:sz w:val="24"/>
          <w:szCs w:val="24"/>
          <w:lang w:val="sq-AL"/>
        </w:rPr>
        <w:t xml:space="preserve">në kuadrin ligjor në fuqi, </w:t>
      </w:r>
      <w:r w:rsidR="00B31A7F" w:rsidRPr="004968EB">
        <w:rPr>
          <w:rFonts w:ascii="Times New Roman" w:hAnsi="Times New Roman"/>
          <w:noProof/>
          <w:sz w:val="24"/>
          <w:szCs w:val="24"/>
          <w:lang w:val="sq-AL"/>
        </w:rPr>
        <w:t>rekomandimet e institucioneve kushtetuese</w:t>
      </w:r>
      <w:r w:rsidR="00427BFC" w:rsidRPr="004968EB">
        <w:rPr>
          <w:rFonts w:ascii="Times New Roman" w:hAnsi="Times New Roman"/>
          <w:noProof/>
          <w:sz w:val="24"/>
          <w:szCs w:val="24"/>
          <w:lang w:val="sq-AL"/>
        </w:rPr>
        <w:t xml:space="preserve"> </w:t>
      </w:r>
      <w:r w:rsidR="00F460B6" w:rsidRPr="004968EB">
        <w:rPr>
          <w:rFonts w:ascii="Times New Roman" w:hAnsi="Times New Roman"/>
          <w:noProof/>
          <w:sz w:val="24"/>
          <w:szCs w:val="24"/>
          <w:lang w:val="sq-AL"/>
        </w:rPr>
        <w:t xml:space="preserve">dhe ndërkombëtare, </w:t>
      </w:r>
      <w:r w:rsidR="00B31A7F" w:rsidRPr="004968EB">
        <w:rPr>
          <w:rFonts w:ascii="Times New Roman" w:hAnsi="Times New Roman"/>
          <w:noProof/>
          <w:sz w:val="24"/>
          <w:szCs w:val="24"/>
          <w:lang w:val="sq-AL"/>
        </w:rPr>
        <w:t xml:space="preserve">si dhe në prioritetet e shtetit shqiptar që rrjedhin nga procesi i integrimit </w:t>
      </w:r>
      <w:r w:rsidR="00B31A7F" w:rsidRPr="004968EB">
        <w:rPr>
          <w:rFonts w:ascii="Times New Roman" w:hAnsi="Times New Roman"/>
          <w:sz w:val="24"/>
          <w:szCs w:val="24"/>
        </w:rPr>
        <w:t xml:space="preserve">me </w:t>
      </w:r>
      <w:proofErr w:type="spellStart"/>
      <w:r w:rsidR="00B31A7F" w:rsidRPr="004968EB">
        <w:rPr>
          <w:rFonts w:ascii="Times New Roman" w:hAnsi="Times New Roman"/>
          <w:sz w:val="24"/>
          <w:szCs w:val="24"/>
        </w:rPr>
        <w:t>Bashkimin</w:t>
      </w:r>
      <w:proofErr w:type="spellEnd"/>
      <w:r w:rsidR="00B31A7F" w:rsidRPr="004968EB">
        <w:rPr>
          <w:rFonts w:ascii="Times New Roman" w:hAnsi="Times New Roman"/>
          <w:sz w:val="24"/>
          <w:szCs w:val="24"/>
        </w:rPr>
        <w:t xml:space="preserve"> </w:t>
      </w:r>
      <w:proofErr w:type="spellStart"/>
      <w:r w:rsidR="00B31A7F" w:rsidRPr="004968EB">
        <w:rPr>
          <w:rFonts w:ascii="Times New Roman" w:hAnsi="Times New Roman"/>
          <w:sz w:val="24"/>
          <w:szCs w:val="24"/>
        </w:rPr>
        <w:t>Europian</w:t>
      </w:r>
      <w:proofErr w:type="spellEnd"/>
      <w:r w:rsidR="00B31A7F" w:rsidRPr="004968EB">
        <w:rPr>
          <w:rFonts w:ascii="Times New Roman" w:hAnsi="Times New Roman"/>
          <w:sz w:val="24"/>
          <w:szCs w:val="24"/>
        </w:rPr>
        <w:t>.</w:t>
      </w:r>
    </w:p>
    <w:p w14:paraId="1AB3835F" w14:textId="77777777" w:rsidR="00163F4C" w:rsidRPr="004968EB" w:rsidRDefault="00163F4C" w:rsidP="004968EB">
      <w:pPr>
        <w:pStyle w:val="NoSpacing"/>
        <w:spacing w:line="276" w:lineRule="auto"/>
        <w:ind w:firstLine="360"/>
        <w:jc w:val="both"/>
        <w:rPr>
          <w:rFonts w:ascii="Times New Roman" w:hAnsi="Times New Roman"/>
          <w:smallCaps/>
          <w:noProof/>
          <w:sz w:val="24"/>
          <w:szCs w:val="24"/>
          <w:lang w:val="sq-AL"/>
        </w:rPr>
      </w:pPr>
    </w:p>
    <w:p w14:paraId="73C39F43" w14:textId="77777777" w:rsidR="00E67EC7" w:rsidRPr="004968EB" w:rsidRDefault="00D16986" w:rsidP="004968EB">
      <w:pPr>
        <w:pStyle w:val="NoSpacing"/>
        <w:numPr>
          <w:ilvl w:val="0"/>
          <w:numId w:val="9"/>
        </w:numPr>
        <w:spacing w:line="276" w:lineRule="auto"/>
        <w:jc w:val="both"/>
        <w:rPr>
          <w:rFonts w:ascii="Times New Roman" w:hAnsi="Times New Roman"/>
          <w:b/>
          <w:smallCaps/>
          <w:noProof/>
          <w:sz w:val="24"/>
          <w:szCs w:val="24"/>
          <w:lang w:val="sq-AL"/>
        </w:rPr>
      </w:pPr>
      <w:r w:rsidRPr="004968EB">
        <w:rPr>
          <w:rFonts w:ascii="Times New Roman" w:hAnsi="Times New Roman"/>
          <w:b/>
          <w:smallCaps/>
          <w:noProof/>
          <w:sz w:val="24"/>
          <w:szCs w:val="24"/>
          <w:lang w:val="sq-AL"/>
        </w:rPr>
        <w:t>Treguesit kryesorë sipas fazave të procedimit penal</w:t>
      </w:r>
    </w:p>
    <w:p w14:paraId="32C1BFAE" w14:textId="77777777" w:rsidR="00163F4C" w:rsidRPr="00FA61B5" w:rsidRDefault="00163F4C" w:rsidP="004968EB">
      <w:pPr>
        <w:pStyle w:val="NoSpacing"/>
        <w:spacing w:line="276" w:lineRule="auto"/>
        <w:ind w:left="1080"/>
        <w:jc w:val="both"/>
        <w:rPr>
          <w:rFonts w:ascii="Times New Roman" w:hAnsi="Times New Roman"/>
          <w:b/>
          <w:smallCaps/>
          <w:noProof/>
          <w:sz w:val="24"/>
          <w:szCs w:val="24"/>
          <w:lang w:val="sq-AL"/>
        </w:rPr>
      </w:pPr>
    </w:p>
    <w:p w14:paraId="4DE3573E" w14:textId="4B3019DF" w:rsidR="001D542D" w:rsidRPr="00FA61B5" w:rsidRDefault="001D542D" w:rsidP="004968EB">
      <w:pPr>
        <w:spacing w:after="0"/>
        <w:ind w:firstLine="360"/>
        <w:jc w:val="both"/>
        <w:rPr>
          <w:rFonts w:ascii="Times New Roman" w:hAnsi="Times New Roman"/>
          <w:b/>
          <w:sz w:val="24"/>
          <w:szCs w:val="24"/>
          <w:lang w:val="sq-AL"/>
        </w:rPr>
      </w:pPr>
      <w:r w:rsidRPr="00FA61B5">
        <w:rPr>
          <w:rFonts w:ascii="Times New Roman" w:hAnsi="Times New Roman"/>
          <w:b/>
          <w:sz w:val="24"/>
          <w:szCs w:val="24"/>
          <w:lang w:val="sq-AL"/>
        </w:rPr>
        <w:t xml:space="preserve">1. </w:t>
      </w:r>
      <w:r w:rsidR="003D4B21" w:rsidRPr="00FA61B5">
        <w:rPr>
          <w:rFonts w:ascii="Times New Roman" w:hAnsi="Times New Roman"/>
          <w:b/>
          <w:sz w:val="24"/>
          <w:szCs w:val="24"/>
          <w:lang w:val="sq-AL"/>
        </w:rPr>
        <w:t>Treg</w:t>
      </w:r>
      <w:r w:rsidR="009A73CB">
        <w:rPr>
          <w:rFonts w:ascii="Times New Roman" w:hAnsi="Times New Roman"/>
          <w:b/>
          <w:sz w:val="24"/>
          <w:szCs w:val="24"/>
          <w:lang w:val="sq-AL"/>
        </w:rPr>
        <w:t>uesit e hetimeve paraprake,</w:t>
      </w:r>
      <w:r w:rsidR="003D4B21" w:rsidRPr="00FA61B5">
        <w:rPr>
          <w:rFonts w:ascii="Times New Roman" w:hAnsi="Times New Roman"/>
          <w:b/>
          <w:sz w:val="24"/>
          <w:szCs w:val="24"/>
          <w:lang w:val="sq-AL"/>
        </w:rPr>
        <w:t xml:space="preserve"> pesha dhe tendencat</w:t>
      </w:r>
      <w:r w:rsidR="00346063" w:rsidRPr="00FA61B5">
        <w:rPr>
          <w:rFonts w:ascii="Times New Roman" w:hAnsi="Times New Roman"/>
          <w:b/>
          <w:sz w:val="24"/>
          <w:szCs w:val="24"/>
          <w:lang w:val="sq-AL"/>
        </w:rPr>
        <w:t xml:space="preserve"> e tyre</w:t>
      </w:r>
    </w:p>
    <w:p w14:paraId="07C2AD3C" w14:textId="77777777" w:rsidR="00186CB6" w:rsidRDefault="00186CB6" w:rsidP="004968EB">
      <w:pPr>
        <w:spacing w:after="0"/>
        <w:ind w:firstLine="360"/>
        <w:jc w:val="both"/>
        <w:rPr>
          <w:rFonts w:ascii="Times New Roman" w:hAnsi="Times New Roman"/>
          <w:sz w:val="24"/>
          <w:szCs w:val="24"/>
          <w:lang w:val="sq-AL"/>
        </w:rPr>
      </w:pPr>
    </w:p>
    <w:p w14:paraId="6FA0EEE8" w14:textId="0737EE6E" w:rsidR="002616A8" w:rsidRPr="004968EB" w:rsidRDefault="002616A8" w:rsidP="004968EB">
      <w:pPr>
        <w:spacing w:after="0"/>
        <w:ind w:firstLine="360"/>
        <w:jc w:val="both"/>
        <w:rPr>
          <w:rFonts w:ascii="Times New Roman" w:hAnsi="Times New Roman"/>
          <w:sz w:val="24"/>
          <w:szCs w:val="24"/>
          <w:lang w:val="sq-AL"/>
        </w:rPr>
      </w:pPr>
      <w:r w:rsidRPr="004968EB">
        <w:rPr>
          <w:rFonts w:ascii="Times New Roman" w:hAnsi="Times New Roman"/>
          <w:sz w:val="24"/>
          <w:szCs w:val="24"/>
          <w:lang w:val="sq-AL"/>
        </w:rPr>
        <w:t>Gjatë vitit 2023, në organin e prokurorisë janë trajtuar  55253</w:t>
      </w:r>
      <w:r w:rsidRPr="004968EB">
        <w:rPr>
          <w:rFonts w:ascii="Times New Roman" w:hAnsi="Times New Roman"/>
          <w:sz w:val="24"/>
          <w:szCs w:val="24"/>
          <w:vertAlign w:val="superscript"/>
          <w:lang w:val="sq-AL"/>
        </w:rPr>
        <w:footnoteReference w:id="2"/>
      </w:r>
      <w:r w:rsidRPr="004968EB">
        <w:rPr>
          <w:rFonts w:ascii="Times New Roman" w:hAnsi="Times New Roman"/>
          <w:sz w:val="24"/>
          <w:szCs w:val="24"/>
          <w:lang w:val="sq-AL"/>
        </w:rPr>
        <w:t xml:space="preserve"> materiale kallëzuese që përbën një ulje prej 9,4 % në krahasim me vitin 2022. Janë ndjekur gjithsej 45715 procedime penale, nga të cilat 24095 janë procedime penale të regjistruara, me një ulje  prej 6,2 % në krahasim me vitin 2022 </w:t>
      </w:r>
      <w:r w:rsidR="00186CB6">
        <w:rPr>
          <w:rFonts w:ascii="Times New Roman" w:hAnsi="Times New Roman"/>
          <w:sz w:val="24"/>
          <w:szCs w:val="24"/>
          <w:lang w:val="sq-AL"/>
        </w:rPr>
        <w:t xml:space="preserve">. </w:t>
      </w:r>
      <w:r w:rsidRPr="004968EB">
        <w:rPr>
          <w:rFonts w:ascii="Times New Roman" w:hAnsi="Times New Roman"/>
          <w:sz w:val="24"/>
          <w:szCs w:val="24"/>
          <w:lang w:val="sq-AL"/>
        </w:rPr>
        <w:t>Janë mbartur 21011 pr</w:t>
      </w:r>
      <w:r w:rsidR="00186CB6">
        <w:rPr>
          <w:rFonts w:ascii="Times New Roman" w:hAnsi="Times New Roman"/>
          <w:sz w:val="24"/>
          <w:szCs w:val="24"/>
          <w:lang w:val="sq-AL"/>
        </w:rPr>
        <w:t xml:space="preserve">ocedime penale me një ulje </w:t>
      </w:r>
      <w:r w:rsidRPr="004968EB">
        <w:rPr>
          <w:rFonts w:ascii="Times New Roman" w:hAnsi="Times New Roman"/>
          <w:sz w:val="24"/>
          <w:szCs w:val="24"/>
          <w:lang w:val="sq-AL"/>
        </w:rPr>
        <w:t xml:space="preserve">prej 3,9 % krahasuar me procedimet e mbartura në vitin 2022. Është vendosur mosfillimi për 9946 </w:t>
      </w:r>
      <w:r w:rsidR="00186CB6">
        <w:rPr>
          <w:rFonts w:ascii="Times New Roman" w:hAnsi="Times New Roman"/>
          <w:sz w:val="24"/>
          <w:szCs w:val="24"/>
          <w:lang w:val="sq-AL"/>
        </w:rPr>
        <w:t xml:space="preserve"> referime dhe kallëzime penale.</w:t>
      </w:r>
    </w:p>
    <w:p w14:paraId="2E91365D" w14:textId="05A9A3D7" w:rsidR="002616A8" w:rsidRPr="004968EB" w:rsidRDefault="00186CB6" w:rsidP="00186CB6">
      <w:pPr>
        <w:spacing w:after="0"/>
        <w:ind w:firstLine="360"/>
        <w:jc w:val="both"/>
        <w:rPr>
          <w:rFonts w:ascii="Times New Roman" w:hAnsi="Times New Roman"/>
          <w:sz w:val="24"/>
          <w:szCs w:val="24"/>
          <w:lang w:val="sq-AL"/>
        </w:rPr>
      </w:pPr>
      <w:r>
        <w:rPr>
          <w:rFonts w:ascii="Times New Roman" w:hAnsi="Times New Roman"/>
          <w:sz w:val="24"/>
          <w:szCs w:val="24"/>
          <w:lang w:val="sq-AL"/>
        </w:rPr>
        <w:t>N</w:t>
      </w:r>
      <w:r w:rsidR="002616A8" w:rsidRPr="004968EB">
        <w:rPr>
          <w:rFonts w:ascii="Times New Roman" w:hAnsi="Times New Roman"/>
          <w:sz w:val="24"/>
          <w:szCs w:val="24"/>
          <w:lang w:val="sq-AL"/>
        </w:rPr>
        <w:t>umri më i madh i procedimeve penale të regjistruara rezulton në Prokurorinë pranë Gjykatës së Shkallës së Parë me Juridiksion të Përgjithshëm Tiranë me 35,12 % të numrit total të procedimeve të regjistruara në shkallë vendi; n</w:t>
      </w:r>
      <w:r w:rsidR="004968EB" w:rsidRPr="004968EB">
        <w:rPr>
          <w:rFonts w:ascii="Times New Roman" w:hAnsi="Times New Roman"/>
          <w:sz w:val="24"/>
          <w:szCs w:val="24"/>
          <w:lang w:val="sq-AL"/>
        </w:rPr>
        <w:t>ë</w:t>
      </w:r>
      <w:r w:rsidR="002616A8" w:rsidRPr="004968EB">
        <w:rPr>
          <w:rFonts w:ascii="Times New Roman" w:hAnsi="Times New Roman"/>
          <w:sz w:val="24"/>
          <w:szCs w:val="24"/>
          <w:lang w:val="sq-AL"/>
        </w:rPr>
        <w:t xml:space="preserve"> fund jan</w:t>
      </w:r>
      <w:r w:rsidR="004968EB" w:rsidRPr="004968EB">
        <w:rPr>
          <w:rFonts w:ascii="Times New Roman" w:hAnsi="Times New Roman"/>
          <w:sz w:val="24"/>
          <w:szCs w:val="24"/>
          <w:lang w:val="sq-AL"/>
        </w:rPr>
        <w:t>ë</w:t>
      </w:r>
      <w:r w:rsidR="00647E1D" w:rsidRPr="004968EB">
        <w:rPr>
          <w:rFonts w:ascii="Times New Roman" w:hAnsi="Times New Roman"/>
          <w:sz w:val="24"/>
          <w:szCs w:val="24"/>
          <w:lang w:val="sq-AL"/>
        </w:rPr>
        <w:t xml:space="preserve"> prokurorit</w:t>
      </w:r>
      <w:r w:rsidR="004968EB" w:rsidRPr="004968EB">
        <w:rPr>
          <w:rFonts w:ascii="Times New Roman" w:hAnsi="Times New Roman"/>
          <w:sz w:val="24"/>
          <w:szCs w:val="24"/>
          <w:lang w:val="sq-AL"/>
        </w:rPr>
        <w:t>ë</w:t>
      </w:r>
      <w:r w:rsidR="002616A8" w:rsidRPr="004968EB">
        <w:rPr>
          <w:rFonts w:ascii="Times New Roman" w:hAnsi="Times New Roman"/>
          <w:sz w:val="24"/>
          <w:szCs w:val="24"/>
          <w:lang w:val="sq-AL"/>
        </w:rPr>
        <w:t xml:space="preserve"> Kukës 2,37 %; Dibër 2,31 % </w:t>
      </w:r>
      <w:r w:rsidR="00647E1D" w:rsidRPr="004968EB">
        <w:rPr>
          <w:rFonts w:ascii="Times New Roman" w:hAnsi="Times New Roman"/>
          <w:sz w:val="24"/>
          <w:szCs w:val="24"/>
          <w:lang w:val="sq-AL"/>
        </w:rPr>
        <w:t>,</w:t>
      </w:r>
      <w:r w:rsidR="002616A8" w:rsidRPr="004968EB">
        <w:rPr>
          <w:rFonts w:ascii="Times New Roman" w:hAnsi="Times New Roman"/>
          <w:sz w:val="24"/>
          <w:szCs w:val="24"/>
          <w:lang w:val="sq-AL"/>
        </w:rPr>
        <w:t>të numrit total të procedimeve penale të regjistruara në shkallë vendi.</w:t>
      </w:r>
    </w:p>
    <w:p w14:paraId="457D0752" w14:textId="1983E432" w:rsidR="00E67EC7" w:rsidRPr="004968EB" w:rsidRDefault="002616A8" w:rsidP="004968EB">
      <w:pPr>
        <w:spacing w:after="0"/>
        <w:ind w:firstLine="360"/>
        <w:jc w:val="both"/>
        <w:rPr>
          <w:rFonts w:ascii="Times New Roman" w:hAnsi="Times New Roman"/>
          <w:sz w:val="24"/>
          <w:szCs w:val="24"/>
          <w:lang w:val="sq-AL"/>
        </w:rPr>
      </w:pPr>
      <w:r w:rsidRPr="004968EB">
        <w:rPr>
          <w:rFonts w:ascii="Times New Roman" w:hAnsi="Times New Roman"/>
          <w:sz w:val="24"/>
          <w:szCs w:val="24"/>
          <w:lang w:val="sq-AL"/>
        </w:rPr>
        <w:t>Koeficienti i kriminalitetit për procedimet penale të regjistruara, për 100,000 banorë në vitin 2023 është 872, ndërsa në vitin 2022 koefiçenti i kriminalitetit ka qenë 920.</w:t>
      </w:r>
      <w:r w:rsidR="00647E1D" w:rsidRPr="004968EB">
        <w:rPr>
          <w:rFonts w:ascii="Times New Roman" w:hAnsi="Times New Roman"/>
          <w:sz w:val="24"/>
          <w:szCs w:val="24"/>
          <w:lang w:val="sq-AL"/>
        </w:rPr>
        <w:t xml:space="preserve"> </w:t>
      </w:r>
      <w:r w:rsidR="00F21731" w:rsidRPr="004968EB">
        <w:rPr>
          <w:rFonts w:ascii="Times New Roman" w:hAnsi="Times New Roman"/>
          <w:sz w:val="24"/>
          <w:szCs w:val="24"/>
          <w:lang w:val="sq-AL"/>
        </w:rPr>
        <w:t>Në vitin 2022, p</w:t>
      </w:r>
      <w:r w:rsidR="00E67EC7" w:rsidRPr="004968EB">
        <w:rPr>
          <w:rFonts w:ascii="Times New Roman" w:hAnsi="Times New Roman"/>
          <w:sz w:val="24"/>
          <w:szCs w:val="24"/>
          <w:lang w:val="sq-AL"/>
        </w:rPr>
        <w:t xml:space="preserve">ërqindjen më të ulët të kriminalitetit për 100.000 banorë e ka </w:t>
      </w:r>
      <w:r w:rsidRPr="004968EB">
        <w:rPr>
          <w:rFonts w:ascii="Times New Roman" w:hAnsi="Times New Roman"/>
          <w:sz w:val="24"/>
          <w:szCs w:val="24"/>
          <w:lang w:val="sq-AL"/>
        </w:rPr>
        <w:t>qarku Dib</w:t>
      </w:r>
      <w:r w:rsidR="004968EB" w:rsidRPr="004968EB">
        <w:rPr>
          <w:rFonts w:ascii="Times New Roman" w:hAnsi="Times New Roman"/>
          <w:sz w:val="24"/>
          <w:szCs w:val="24"/>
          <w:lang w:val="sq-AL"/>
        </w:rPr>
        <w:t>ë</w:t>
      </w:r>
      <w:r w:rsidRPr="004968EB">
        <w:rPr>
          <w:rFonts w:ascii="Times New Roman" w:hAnsi="Times New Roman"/>
          <w:sz w:val="24"/>
          <w:szCs w:val="24"/>
          <w:lang w:val="sq-AL"/>
        </w:rPr>
        <w:t>r</w:t>
      </w:r>
      <w:r w:rsidR="00E67EC7" w:rsidRPr="004968EB">
        <w:rPr>
          <w:rFonts w:ascii="Times New Roman" w:hAnsi="Times New Roman"/>
          <w:sz w:val="24"/>
          <w:szCs w:val="24"/>
          <w:lang w:val="sq-AL"/>
        </w:rPr>
        <w:t xml:space="preserve">, ndërsa përqindjen më të lartë e ka qarku </w:t>
      </w:r>
      <w:r w:rsidRPr="004968EB">
        <w:rPr>
          <w:rFonts w:ascii="Times New Roman" w:hAnsi="Times New Roman"/>
          <w:sz w:val="24"/>
          <w:szCs w:val="24"/>
          <w:lang w:val="sq-AL"/>
        </w:rPr>
        <w:t>Vlor</w:t>
      </w:r>
      <w:r w:rsidR="004968EB" w:rsidRPr="004968EB">
        <w:rPr>
          <w:rFonts w:ascii="Times New Roman" w:hAnsi="Times New Roman"/>
          <w:sz w:val="24"/>
          <w:szCs w:val="24"/>
          <w:lang w:val="sq-AL"/>
        </w:rPr>
        <w:t>ë</w:t>
      </w:r>
      <w:r w:rsidR="00E67EC7" w:rsidRPr="004968EB">
        <w:rPr>
          <w:rFonts w:ascii="Times New Roman" w:hAnsi="Times New Roman"/>
          <w:sz w:val="24"/>
          <w:szCs w:val="24"/>
          <w:lang w:val="sq-AL"/>
        </w:rPr>
        <w:t xml:space="preserve">. </w:t>
      </w:r>
    </w:p>
    <w:p w14:paraId="3BEABADD" w14:textId="0C1C29FA" w:rsidR="00526062" w:rsidRPr="004968EB" w:rsidRDefault="00D54380" w:rsidP="004968EB">
      <w:pPr>
        <w:spacing w:after="0"/>
        <w:ind w:firstLine="360"/>
        <w:jc w:val="both"/>
        <w:rPr>
          <w:rFonts w:ascii="Times New Roman" w:hAnsi="Times New Roman"/>
          <w:sz w:val="24"/>
          <w:szCs w:val="24"/>
          <w:lang w:val="sq-AL"/>
        </w:rPr>
      </w:pPr>
      <w:r w:rsidRPr="004968EB">
        <w:rPr>
          <w:rFonts w:ascii="Times New Roman" w:hAnsi="Times New Roman"/>
          <w:sz w:val="24"/>
          <w:szCs w:val="24"/>
          <w:lang w:val="sq-AL"/>
        </w:rPr>
        <w:t>N</w:t>
      </w:r>
      <w:r w:rsidR="00E67EC7" w:rsidRPr="004968EB">
        <w:rPr>
          <w:rFonts w:ascii="Times New Roman" w:hAnsi="Times New Roman"/>
          <w:sz w:val="24"/>
          <w:szCs w:val="24"/>
          <w:lang w:val="sq-AL"/>
        </w:rPr>
        <w:t xml:space="preserve">dër </w:t>
      </w:r>
      <w:r w:rsidR="00FA61B5">
        <w:rPr>
          <w:rFonts w:ascii="Times New Roman" w:hAnsi="Times New Roman"/>
          <w:sz w:val="24"/>
          <w:szCs w:val="24"/>
          <w:lang w:val="sq-AL"/>
        </w:rPr>
        <w:t>grup</w:t>
      </w:r>
      <w:r w:rsidR="00E67EC7" w:rsidRPr="004968EB">
        <w:rPr>
          <w:rFonts w:ascii="Times New Roman" w:hAnsi="Times New Roman"/>
          <w:sz w:val="24"/>
          <w:szCs w:val="24"/>
          <w:lang w:val="sq-AL"/>
        </w:rPr>
        <w:t>veprat penale me numrin më të lartë të procedimeve të regjistruara, evidentohet se</w:t>
      </w:r>
      <w:r w:rsidR="00A16744" w:rsidRPr="004968EB">
        <w:rPr>
          <w:rFonts w:ascii="Times New Roman" w:hAnsi="Times New Roman"/>
          <w:sz w:val="24"/>
          <w:szCs w:val="24"/>
          <w:lang w:val="sq-AL"/>
        </w:rPr>
        <w:t xml:space="preserve"> </w:t>
      </w:r>
      <w:r w:rsidR="00E67EC7" w:rsidRPr="004968EB">
        <w:rPr>
          <w:rFonts w:ascii="Times New Roman" w:hAnsi="Times New Roman"/>
          <w:sz w:val="24"/>
          <w:szCs w:val="24"/>
          <w:lang w:val="sq-AL"/>
        </w:rPr>
        <w:t>v</w:t>
      </w:r>
      <w:r w:rsidR="00E67EC7" w:rsidRPr="004968EB">
        <w:rPr>
          <w:rFonts w:ascii="Times New Roman" w:hAnsi="Times New Roman"/>
          <w:bCs/>
          <w:iCs/>
          <w:sz w:val="24"/>
          <w:szCs w:val="24"/>
          <w:lang w:val="sq-AL"/>
        </w:rPr>
        <w:t>eprat penale kundër rendit dhe sigurisë publike</w:t>
      </w:r>
      <w:r w:rsidR="00E67EC7" w:rsidRPr="004968EB">
        <w:rPr>
          <w:rFonts w:ascii="Times New Roman" w:hAnsi="Times New Roman"/>
          <w:sz w:val="24"/>
          <w:szCs w:val="24"/>
          <w:lang w:val="sq-AL"/>
        </w:rPr>
        <w:t xml:space="preserve"> përbëjnë numrin më të lartë të procedimeve penale të regjistruara me </w:t>
      </w:r>
      <w:r w:rsidR="00647E1D" w:rsidRPr="004968EB">
        <w:rPr>
          <w:rFonts w:ascii="Times New Roman" w:hAnsi="Times New Roman"/>
          <w:sz w:val="24"/>
          <w:szCs w:val="24"/>
          <w:lang w:val="sq-AL"/>
        </w:rPr>
        <w:t>31,71</w:t>
      </w:r>
      <w:r w:rsidR="00571E86" w:rsidRPr="004968EB">
        <w:rPr>
          <w:rFonts w:ascii="Times New Roman" w:hAnsi="Times New Roman"/>
          <w:sz w:val="24"/>
          <w:szCs w:val="24"/>
          <w:lang w:val="sq-AL"/>
        </w:rPr>
        <w:t xml:space="preserve"> </w:t>
      </w:r>
      <w:r w:rsidRPr="004968EB">
        <w:rPr>
          <w:rFonts w:ascii="Times New Roman" w:hAnsi="Times New Roman"/>
          <w:sz w:val="24"/>
          <w:szCs w:val="24"/>
          <w:lang w:val="sq-AL"/>
        </w:rPr>
        <w:t>%, por me nj</w:t>
      </w:r>
      <w:r w:rsidR="00F460B6" w:rsidRPr="004968EB">
        <w:rPr>
          <w:rFonts w:ascii="Times New Roman" w:hAnsi="Times New Roman"/>
          <w:sz w:val="24"/>
          <w:szCs w:val="24"/>
          <w:lang w:val="sq-AL"/>
        </w:rPr>
        <w:t>ë</w:t>
      </w:r>
      <w:r w:rsidRPr="004968EB">
        <w:rPr>
          <w:rFonts w:ascii="Times New Roman" w:hAnsi="Times New Roman"/>
          <w:sz w:val="24"/>
          <w:szCs w:val="24"/>
          <w:lang w:val="sq-AL"/>
        </w:rPr>
        <w:t xml:space="preserve"> </w:t>
      </w:r>
      <w:r w:rsidR="00647E1D" w:rsidRPr="004968EB">
        <w:rPr>
          <w:rFonts w:ascii="Times New Roman" w:hAnsi="Times New Roman"/>
          <w:sz w:val="24"/>
          <w:szCs w:val="24"/>
          <w:lang w:val="sq-AL"/>
        </w:rPr>
        <w:t>ulje 1,54</w:t>
      </w:r>
      <w:r w:rsidR="00E67EC7" w:rsidRPr="004968EB">
        <w:rPr>
          <w:rFonts w:ascii="Times New Roman" w:hAnsi="Times New Roman"/>
          <w:sz w:val="24"/>
          <w:szCs w:val="24"/>
          <w:lang w:val="sq-AL"/>
        </w:rPr>
        <w:t xml:space="preserve"> % krahasuar me vitin 202</w:t>
      </w:r>
      <w:r w:rsidR="00526062" w:rsidRPr="004968EB">
        <w:rPr>
          <w:rFonts w:ascii="Times New Roman" w:hAnsi="Times New Roman"/>
          <w:sz w:val="24"/>
          <w:szCs w:val="24"/>
          <w:lang w:val="sq-AL"/>
        </w:rPr>
        <w:t>2</w:t>
      </w:r>
      <w:r w:rsidR="00186CB6">
        <w:rPr>
          <w:rFonts w:ascii="Times New Roman" w:hAnsi="Times New Roman"/>
          <w:sz w:val="24"/>
          <w:szCs w:val="24"/>
          <w:lang w:val="sq-AL"/>
        </w:rPr>
        <w:t>; v</w:t>
      </w:r>
      <w:r w:rsidR="00E67EC7" w:rsidRPr="004968EB">
        <w:rPr>
          <w:rFonts w:ascii="Times New Roman" w:hAnsi="Times New Roman"/>
          <w:bCs/>
          <w:iCs/>
          <w:sz w:val="24"/>
          <w:szCs w:val="24"/>
          <w:lang w:val="sq-AL"/>
        </w:rPr>
        <w:t xml:space="preserve">eprat penale </w:t>
      </w:r>
      <w:r w:rsidR="00E67EC7" w:rsidRPr="004968EB">
        <w:rPr>
          <w:rFonts w:ascii="Times New Roman" w:hAnsi="Times New Roman"/>
          <w:sz w:val="24"/>
          <w:szCs w:val="24"/>
          <w:lang w:val="sq-AL"/>
        </w:rPr>
        <w:t xml:space="preserve">vjedhja e pasurisë përbëjnë </w:t>
      </w:r>
      <w:r w:rsidR="00647E1D" w:rsidRPr="004968EB">
        <w:rPr>
          <w:rFonts w:ascii="Times New Roman" w:hAnsi="Times New Roman"/>
          <w:sz w:val="24"/>
          <w:szCs w:val="24"/>
          <w:lang w:val="sq-AL"/>
        </w:rPr>
        <w:t>23,64</w:t>
      </w:r>
      <w:r w:rsidR="00571E86" w:rsidRPr="004968EB">
        <w:rPr>
          <w:rFonts w:ascii="Times New Roman" w:hAnsi="Times New Roman"/>
          <w:sz w:val="24"/>
          <w:szCs w:val="24"/>
          <w:lang w:val="sq-AL"/>
        </w:rPr>
        <w:t xml:space="preserve"> </w:t>
      </w:r>
      <w:r w:rsidR="00E67EC7" w:rsidRPr="004968EB">
        <w:rPr>
          <w:rFonts w:ascii="Times New Roman" w:hAnsi="Times New Roman"/>
          <w:sz w:val="24"/>
          <w:szCs w:val="24"/>
          <w:lang w:val="sq-AL"/>
        </w:rPr>
        <w:t xml:space="preserve">% të numrit të përgjithshëm të procedimeve të regjistruara, </w:t>
      </w:r>
      <w:r w:rsidR="00A16744" w:rsidRPr="004968EB">
        <w:rPr>
          <w:rFonts w:ascii="Times New Roman" w:hAnsi="Times New Roman"/>
          <w:sz w:val="24"/>
          <w:szCs w:val="24"/>
          <w:lang w:val="sq-AL"/>
        </w:rPr>
        <w:t>të cilat</w:t>
      </w:r>
      <w:r w:rsidR="00E67EC7" w:rsidRPr="004968EB">
        <w:rPr>
          <w:rFonts w:ascii="Times New Roman" w:hAnsi="Times New Roman"/>
          <w:sz w:val="24"/>
          <w:szCs w:val="24"/>
          <w:lang w:val="sq-AL"/>
        </w:rPr>
        <w:t xml:space="preserve"> kanë </w:t>
      </w:r>
      <w:r w:rsidR="00647E1D" w:rsidRPr="004968EB">
        <w:rPr>
          <w:rFonts w:ascii="Times New Roman" w:hAnsi="Times New Roman"/>
          <w:sz w:val="24"/>
          <w:szCs w:val="24"/>
          <w:lang w:val="sq-AL"/>
        </w:rPr>
        <w:t>ulje 16.39</w:t>
      </w:r>
      <w:r w:rsidR="00E67EC7" w:rsidRPr="004968EB">
        <w:rPr>
          <w:rFonts w:ascii="Times New Roman" w:hAnsi="Times New Roman"/>
          <w:sz w:val="24"/>
          <w:szCs w:val="24"/>
          <w:lang w:val="sq-AL"/>
        </w:rPr>
        <w:t xml:space="preserve"> % krahasuar me vitin 202</w:t>
      </w:r>
      <w:r w:rsidR="00647E1D" w:rsidRPr="004968EB">
        <w:rPr>
          <w:rFonts w:ascii="Times New Roman" w:hAnsi="Times New Roman"/>
          <w:sz w:val="24"/>
          <w:szCs w:val="24"/>
          <w:lang w:val="sq-AL"/>
        </w:rPr>
        <w:t>2</w:t>
      </w:r>
      <w:r w:rsidR="00E67EC7" w:rsidRPr="004968EB">
        <w:rPr>
          <w:rFonts w:ascii="Times New Roman" w:hAnsi="Times New Roman"/>
          <w:sz w:val="24"/>
          <w:szCs w:val="24"/>
          <w:lang w:val="sq-AL"/>
        </w:rPr>
        <w:t>;</w:t>
      </w:r>
      <w:r w:rsidR="00647E1D" w:rsidRPr="004968EB">
        <w:rPr>
          <w:rFonts w:ascii="Times New Roman" w:hAnsi="Times New Roman"/>
          <w:sz w:val="24"/>
          <w:szCs w:val="24"/>
          <w:lang w:val="sq-AL"/>
        </w:rPr>
        <w:t xml:space="preserve"> s</w:t>
      </w:r>
      <w:r w:rsidR="004968EB" w:rsidRPr="004968EB">
        <w:rPr>
          <w:rFonts w:ascii="Times New Roman" w:hAnsi="Times New Roman"/>
          <w:sz w:val="24"/>
          <w:szCs w:val="24"/>
          <w:lang w:val="sq-AL"/>
        </w:rPr>
        <w:t>ë</w:t>
      </w:r>
      <w:r w:rsidR="00647E1D" w:rsidRPr="004968EB">
        <w:rPr>
          <w:rFonts w:ascii="Times New Roman" w:hAnsi="Times New Roman"/>
          <w:sz w:val="24"/>
          <w:szCs w:val="24"/>
          <w:lang w:val="sq-AL"/>
        </w:rPr>
        <w:t>rish me nj</w:t>
      </w:r>
      <w:r w:rsidR="004968EB" w:rsidRPr="004968EB">
        <w:rPr>
          <w:rFonts w:ascii="Times New Roman" w:hAnsi="Times New Roman"/>
          <w:sz w:val="24"/>
          <w:szCs w:val="24"/>
          <w:lang w:val="sq-AL"/>
        </w:rPr>
        <w:t>ë</w:t>
      </w:r>
      <w:r w:rsidR="00647E1D" w:rsidRPr="004968EB">
        <w:rPr>
          <w:rFonts w:ascii="Times New Roman" w:hAnsi="Times New Roman"/>
          <w:sz w:val="24"/>
          <w:szCs w:val="24"/>
          <w:lang w:val="sq-AL"/>
        </w:rPr>
        <w:t xml:space="preserve"> tendenc</w:t>
      </w:r>
      <w:r w:rsidR="004968EB" w:rsidRPr="004968EB">
        <w:rPr>
          <w:rFonts w:ascii="Times New Roman" w:hAnsi="Times New Roman"/>
          <w:sz w:val="24"/>
          <w:szCs w:val="24"/>
          <w:lang w:val="sq-AL"/>
        </w:rPr>
        <w:t>ë</w:t>
      </w:r>
      <w:r w:rsidR="00647E1D" w:rsidRPr="004968EB">
        <w:rPr>
          <w:rFonts w:ascii="Times New Roman" w:hAnsi="Times New Roman"/>
          <w:sz w:val="24"/>
          <w:szCs w:val="24"/>
          <w:lang w:val="sq-AL"/>
        </w:rPr>
        <w:t xml:space="preserve"> ulje t</w:t>
      </w:r>
      <w:r w:rsidR="004968EB" w:rsidRPr="004968EB">
        <w:rPr>
          <w:rFonts w:ascii="Times New Roman" w:hAnsi="Times New Roman"/>
          <w:sz w:val="24"/>
          <w:szCs w:val="24"/>
          <w:lang w:val="sq-AL"/>
        </w:rPr>
        <w:t>ë</w:t>
      </w:r>
      <w:r w:rsidR="00647E1D" w:rsidRPr="004968EB">
        <w:rPr>
          <w:rFonts w:ascii="Times New Roman" w:hAnsi="Times New Roman"/>
          <w:sz w:val="24"/>
          <w:szCs w:val="24"/>
          <w:lang w:val="sq-AL"/>
        </w:rPr>
        <w:t xml:space="preserve"> ndjeshme si n</w:t>
      </w:r>
      <w:r w:rsidR="004968EB" w:rsidRPr="004968EB">
        <w:rPr>
          <w:rFonts w:ascii="Times New Roman" w:hAnsi="Times New Roman"/>
          <w:sz w:val="24"/>
          <w:szCs w:val="24"/>
          <w:lang w:val="sq-AL"/>
        </w:rPr>
        <w:t>ë</w:t>
      </w:r>
      <w:r w:rsidR="00647E1D" w:rsidRPr="004968EB">
        <w:rPr>
          <w:rFonts w:ascii="Times New Roman" w:hAnsi="Times New Roman"/>
          <w:sz w:val="24"/>
          <w:szCs w:val="24"/>
          <w:lang w:val="sq-AL"/>
        </w:rPr>
        <w:t xml:space="preserve"> vitin e kaluar</w:t>
      </w:r>
      <w:r w:rsidR="00186CB6">
        <w:rPr>
          <w:rFonts w:ascii="Times New Roman" w:hAnsi="Times New Roman"/>
          <w:sz w:val="24"/>
          <w:szCs w:val="24"/>
          <w:lang w:val="sq-AL"/>
        </w:rPr>
        <w:t xml:space="preserve">; </w:t>
      </w:r>
      <w:r w:rsidR="00DC2637" w:rsidRPr="004968EB">
        <w:rPr>
          <w:rFonts w:ascii="Times New Roman" w:hAnsi="Times New Roman"/>
          <w:sz w:val="24"/>
          <w:szCs w:val="24"/>
          <w:lang w:val="sq-AL"/>
        </w:rPr>
        <w:t xml:space="preserve">veprat </w:t>
      </w:r>
      <w:r w:rsidR="00DC2637" w:rsidRPr="004968EB">
        <w:rPr>
          <w:rFonts w:ascii="Times New Roman" w:hAnsi="Times New Roman"/>
          <w:bCs/>
          <w:iCs/>
          <w:sz w:val="24"/>
          <w:szCs w:val="24"/>
          <w:lang w:val="sq-AL"/>
        </w:rPr>
        <w:t>penale kundër fëmijëve, martesës dhe familjes</w:t>
      </w:r>
      <w:r w:rsidRPr="004968EB">
        <w:rPr>
          <w:rFonts w:ascii="Times New Roman" w:hAnsi="Times New Roman"/>
          <w:sz w:val="24"/>
          <w:szCs w:val="24"/>
          <w:lang w:val="sq-AL"/>
        </w:rPr>
        <w:t xml:space="preserve"> </w:t>
      </w:r>
      <w:r w:rsidR="00647E1D" w:rsidRPr="004968EB">
        <w:rPr>
          <w:rFonts w:ascii="Times New Roman" w:hAnsi="Times New Roman"/>
          <w:sz w:val="24"/>
          <w:szCs w:val="24"/>
          <w:lang w:val="sq-AL"/>
        </w:rPr>
        <w:t xml:space="preserve"> 6,2</w:t>
      </w:r>
      <w:r w:rsidR="00DC2637" w:rsidRPr="004968EB">
        <w:rPr>
          <w:rFonts w:ascii="Times New Roman" w:hAnsi="Times New Roman"/>
          <w:sz w:val="24"/>
          <w:szCs w:val="24"/>
          <w:lang w:val="sq-AL"/>
        </w:rPr>
        <w:t xml:space="preserve">%, </w:t>
      </w:r>
      <w:r w:rsidRPr="004968EB">
        <w:rPr>
          <w:rFonts w:ascii="Times New Roman" w:hAnsi="Times New Roman"/>
          <w:sz w:val="24"/>
          <w:szCs w:val="24"/>
          <w:lang w:val="sq-AL"/>
        </w:rPr>
        <w:t>me</w:t>
      </w:r>
      <w:r w:rsidR="00647E1D" w:rsidRPr="004968EB">
        <w:rPr>
          <w:rFonts w:ascii="Times New Roman" w:hAnsi="Times New Roman"/>
          <w:sz w:val="24"/>
          <w:szCs w:val="24"/>
          <w:lang w:val="sq-AL"/>
        </w:rPr>
        <w:t xml:space="preserve"> një ulje</w:t>
      </w:r>
      <w:r w:rsidR="00DC2637" w:rsidRPr="004968EB">
        <w:rPr>
          <w:rFonts w:ascii="Times New Roman" w:hAnsi="Times New Roman"/>
          <w:sz w:val="24"/>
          <w:szCs w:val="24"/>
          <w:lang w:val="sq-AL"/>
        </w:rPr>
        <w:t xml:space="preserve"> prej </w:t>
      </w:r>
      <w:r w:rsidR="00526062" w:rsidRPr="004968EB">
        <w:rPr>
          <w:rFonts w:ascii="Times New Roman" w:hAnsi="Times New Roman"/>
          <w:sz w:val="24"/>
          <w:szCs w:val="24"/>
          <w:lang w:val="sq-AL"/>
        </w:rPr>
        <w:t>4.68</w:t>
      </w:r>
      <w:r w:rsidR="00DC2637" w:rsidRPr="004968EB">
        <w:rPr>
          <w:rFonts w:ascii="Times New Roman" w:hAnsi="Times New Roman"/>
          <w:sz w:val="24"/>
          <w:szCs w:val="24"/>
          <w:lang w:val="sq-AL"/>
        </w:rPr>
        <w:t xml:space="preserve"> %</w:t>
      </w:r>
      <w:r w:rsidR="00526062" w:rsidRPr="004968EB">
        <w:rPr>
          <w:rFonts w:ascii="Times New Roman" w:hAnsi="Times New Roman"/>
          <w:sz w:val="24"/>
          <w:szCs w:val="24"/>
          <w:lang w:val="sq-AL"/>
        </w:rPr>
        <w:t xml:space="preserve"> në krahasim me vitin 2022.</w:t>
      </w:r>
    </w:p>
    <w:p w14:paraId="0864DC18" w14:textId="77777777" w:rsidR="00186CB6" w:rsidRDefault="00526062" w:rsidP="00186CB6">
      <w:pPr>
        <w:spacing w:after="0"/>
        <w:ind w:firstLine="360"/>
        <w:jc w:val="both"/>
        <w:rPr>
          <w:rFonts w:ascii="Times New Roman" w:hAnsi="Times New Roman"/>
          <w:sz w:val="24"/>
          <w:szCs w:val="24"/>
          <w:lang w:val="sq-AL"/>
        </w:rPr>
      </w:pPr>
      <w:r w:rsidRPr="004968EB">
        <w:rPr>
          <w:rFonts w:ascii="Times New Roman" w:hAnsi="Times New Roman"/>
          <w:sz w:val="24"/>
          <w:szCs w:val="24"/>
          <w:lang w:val="sq-AL"/>
        </w:rPr>
        <w:t>Tendenc</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n</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rritje </w:t>
      </w:r>
      <w:r w:rsidR="004968EB" w:rsidRPr="004968EB">
        <w:rPr>
          <w:rFonts w:ascii="Times New Roman" w:hAnsi="Times New Roman"/>
          <w:sz w:val="24"/>
          <w:szCs w:val="24"/>
          <w:lang w:val="sq-AL"/>
        </w:rPr>
        <w:t>ë</w:t>
      </w:r>
      <w:r w:rsidRPr="004968EB">
        <w:rPr>
          <w:rFonts w:ascii="Times New Roman" w:hAnsi="Times New Roman"/>
          <w:sz w:val="24"/>
          <w:szCs w:val="24"/>
          <w:lang w:val="sq-AL"/>
        </w:rPr>
        <w:t>sht</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v</w:t>
      </w:r>
      <w:r w:rsidR="004968EB" w:rsidRPr="004968EB">
        <w:rPr>
          <w:rFonts w:ascii="Times New Roman" w:hAnsi="Times New Roman"/>
          <w:sz w:val="24"/>
          <w:szCs w:val="24"/>
          <w:lang w:val="sq-AL"/>
        </w:rPr>
        <w:t>ë</w:t>
      </w:r>
      <w:r w:rsidRPr="004968EB">
        <w:rPr>
          <w:rFonts w:ascii="Times New Roman" w:hAnsi="Times New Roman"/>
          <w:sz w:val="24"/>
          <w:szCs w:val="24"/>
          <w:lang w:val="sq-AL"/>
        </w:rPr>
        <w:t>rejtur p</w:t>
      </w:r>
      <w:r w:rsidR="004968EB" w:rsidRPr="004968EB">
        <w:rPr>
          <w:rFonts w:ascii="Times New Roman" w:hAnsi="Times New Roman"/>
          <w:sz w:val="24"/>
          <w:szCs w:val="24"/>
          <w:lang w:val="sq-AL"/>
        </w:rPr>
        <w:t>ë</w:t>
      </w:r>
      <w:r w:rsidRPr="004968EB">
        <w:rPr>
          <w:rFonts w:ascii="Times New Roman" w:hAnsi="Times New Roman"/>
          <w:sz w:val="24"/>
          <w:szCs w:val="24"/>
          <w:lang w:val="sq-AL"/>
        </w:rPr>
        <w:t>r veprat penale që c</w:t>
      </w:r>
      <w:r w:rsidR="004968EB" w:rsidRPr="004968EB">
        <w:rPr>
          <w:rFonts w:ascii="Times New Roman" w:hAnsi="Times New Roman"/>
          <w:sz w:val="24"/>
          <w:szCs w:val="24"/>
          <w:lang w:val="sq-AL"/>
        </w:rPr>
        <w:t>ë</w:t>
      </w:r>
      <w:r w:rsidRPr="004968EB">
        <w:rPr>
          <w:rFonts w:ascii="Times New Roman" w:hAnsi="Times New Roman"/>
          <w:sz w:val="24"/>
          <w:szCs w:val="24"/>
          <w:lang w:val="sq-AL"/>
        </w:rPr>
        <w:t>nojnë regjimin juridik të tokës”, 12,86 %;  veprat penale kundër sekretit dhe kufijve shtetërorë,  9,20 %; veprat penale n</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fush</w:t>
      </w:r>
      <w:r w:rsidR="004968EB" w:rsidRPr="004968EB">
        <w:rPr>
          <w:rFonts w:ascii="Times New Roman" w:hAnsi="Times New Roman"/>
          <w:sz w:val="24"/>
          <w:szCs w:val="24"/>
          <w:lang w:val="sq-AL"/>
        </w:rPr>
        <w:t>ë</w:t>
      </w:r>
      <w:r w:rsidRPr="004968EB">
        <w:rPr>
          <w:rFonts w:ascii="Times New Roman" w:hAnsi="Times New Roman"/>
          <w:sz w:val="24"/>
          <w:szCs w:val="24"/>
          <w:lang w:val="sq-AL"/>
        </w:rPr>
        <w:t>n kibernetike, 22,35 %; veprat penale të trafiqeve të paligjshme”, 47,59 %; veprat penale kundër prodhimit dhe kulti</w:t>
      </w:r>
      <w:r w:rsidR="00186CB6">
        <w:rPr>
          <w:rFonts w:ascii="Times New Roman" w:hAnsi="Times New Roman"/>
          <w:sz w:val="24"/>
          <w:szCs w:val="24"/>
          <w:lang w:val="sq-AL"/>
        </w:rPr>
        <w:t>vimit të narkotikëve”, 13,81 %.</w:t>
      </w:r>
    </w:p>
    <w:p w14:paraId="7A5A004E" w14:textId="0CDF4DF5" w:rsidR="00F9264E" w:rsidRPr="004968EB" w:rsidRDefault="00E67EC7" w:rsidP="009A73CB">
      <w:pPr>
        <w:spacing w:after="0"/>
        <w:ind w:firstLine="360"/>
        <w:jc w:val="both"/>
        <w:rPr>
          <w:rFonts w:ascii="Times New Roman" w:hAnsi="Times New Roman"/>
          <w:sz w:val="24"/>
          <w:szCs w:val="24"/>
          <w:lang w:val="sq-AL"/>
        </w:rPr>
      </w:pPr>
      <w:r w:rsidRPr="004968EB">
        <w:rPr>
          <w:rFonts w:ascii="Times New Roman" w:hAnsi="Times New Roman"/>
          <w:sz w:val="24"/>
          <w:szCs w:val="24"/>
          <w:lang w:val="sq-AL"/>
        </w:rPr>
        <w:t xml:space="preserve"> </w:t>
      </w:r>
    </w:p>
    <w:p w14:paraId="19D4D7C3" w14:textId="77777777" w:rsidR="00E67EC7" w:rsidRPr="00186CB6" w:rsidRDefault="002F2229" w:rsidP="004968EB">
      <w:pPr>
        <w:spacing w:after="0"/>
        <w:ind w:firstLine="360"/>
        <w:jc w:val="both"/>
        <w:rPr>
          <w:rFonts w:ascii="Times New Roman" w:hAnsi="Times New Roman"/>
          <w:b/>
          <w:smallCaps/>
          <w:sz w:val="24"/>
          <w:szCs w:val="24"/>
          <w:lang w:val="sq-AL"/>
        </w:rPr>
      </w:pPr>
      <w:r w:rsidRPr="00186CB6">
        <w:rPr>
          <w:rFonts w:ascii="Times New Roman" w:hAnsi="Times New Roman"/>
          <w:b/>
          <w:smallCaps/>
          <w:sz w:val="24"/>
          <w:szCs w:val="24"/>
          <w:lang w:val="sq-AL"/>
        </w:rPr>
        <w:t>II.</w:t>
      </w:r>
      <w:r w:rsidR="00E67EC7" w:rsidRPr="00186CB6">
        <w:rPr>
          <w:rFonts w:ascii="Times New Roman" w:hAnsi="Times New Roman"/>
          <w:b/>
          <w:smallCaps/>
          <w:sz w:val="24"/>
          <w:szCs w:val="24"/>
          <w:lang w:val="sq-AL"/>
        </w:rPr>
        <w:t>Efiçenca</w:t>
      </w:r>
      <w:r w:rsidR="00A1592A" w:rsidRPr="00186CB6">
        <w:rPr>
          <w:rFonts w:ascii="Times New Roman" w:hAnsi="Times New Roman"/>
          <w:b/>
          <w:smallCaps/>
          <w:sz w:val="24"/>
          <w:szCs w:val="24"/>
          <w:lang w:val="sq-AL"/>
        </w:rPr>
        <w:t xml:space="preserve"> n</w:t>
      </w:r>
      <w:r w:rsidR="00C221F0" w:rsidRPr="00186CB6">
        <w:rPr>
          <w:rFonts w:ascii="Times New Roman" w:hAnsi="Times New Roman"/>
          <w:b/>
          <w:smallCaps/>
          <w:sz w:val="24"/>
          <w:szCs w:val="24"/>
          <w:lang w:val="sq-AL"/>
        </w:rPr>
        <w:t>ë</w:t>
      </w:r>
      <w:r w:rsidR="00A1592A" w:rsidRPr="00186CB6">
        <w:rPr>
          <w:rFonts w:ascii="Times New Roman" w:hAnsi="Times New Roman"/>
          <w:b/>
          <w:smallCaps/>
          <w:sz w:val="24"/>
          <w:szCs w:val="24"/>
          <w:lang w:val="sq-AL"/>
        </w:rPr>
        <w:t xml:space="preserve"> p</w:t>
      </w:r>
      <w:r w:rsidR="00C221F0" w:rsidRPr="00186CB6">
        <w:rPr>
          <w:rFonts w:ascii="Times New Roman" w:hAnsi="Times New Roman"/>
          <w:b/>
          <w:smallCaps/>
          <w:sz w:val="24"/>
          <w:szCs w:val="24"/>
          <w:lang w:val="sq-AL"/>
        </w:rPr>
        <w:t>ë</w:t>
      </w:r>
      <w:r w:rsidR="00A1592A" w:rsidRPr="00186CB6">
        <w:rPr>
          <w:rFonts w:ascii="Times New Roman" w:hAnsi="Times New Roman"/>
          <w:b/>
          <w:smallCaps/>
          <w:sz w:val="24"/>
          <w:szCs w:val="24"/>
          <w:lang w:val="sq-AL"/>
        </w:rPr>
        <w:t xml:space="preserve">rfundimin e ndjekjes penale </w:t>
      </w:r>
      <w:r w:rsidRPr="00186CB6">
        <w:rPr>
          <w:rFonts w:ascii="Times New Roman" w:hAnsi="Times New Roman"/>
          <w:b/>
          <w:smallCaps/>
          <w:sz w:val="24"/>
          <w:szCs w:val="24"/>
          <w:lang w:val="sq-AL"/>
        </w:rPr>
        <w:t xml:space="preserve">dhe </w:t>
      </w:r>
      <w:r w:rsidR="00346063" w:rsidRPr="00186CB6">
        <w:rPr>
          <w:rFonts w:ascii="Times New Roman" w:hAnsi="Times New Roman"/>
          <w:b/>
          <w:smallCaps/>
          <w:sz w:val="24"/>
          <w:szCs w:val="24"/>
          <w:lang w:val="sq-AL"/>
        </w:rPr>
        <w:t>e</w:t>
      </w:r>
      <w:r w:rsidRPr="00186CB6">
        <w:rPr>
          <w:rFonts w:ascii="Times New Roman" w:hAnsi="Times New Roman"/>
          <w:b/>
          <w:smallCaps/>
          <w:sz w:val="24"/>
          <w:szCs w:val="24"/>
          <w:lang w:val="sq-AL"/>
        </w:rPr>
        <w:t xml:space="preserve"> k</w:t>
      </w:r>
      <w:r w:rsidR="00C221F0" w:rsidRPr="00186CB6">
        <w:rPr>
          <w:rFonts w:ascii="Times New Roman" w:hAnsi="Times New Roman"/>
          <w:b/>
          <w:smallCaps/>
          <w:sz w:val="24"/>
          <w:szCs w:val="24"/>
          <w:lang w:val="sq-AL"/>
        </w:rPr>
        <w:t>ë</w:t>
      </w:r>
      <w:r w:rsidRPr="00186CB6">
        <w:rPr>
          <w:rFonts w:ascii="Times New Roman" w:hAnsi="Times New Roman"/>
          <w:b/>
          <w:smallCaps/>
          <w:sz w:val="24"/>
          <w:szCs w:val="24"/>
          <w:lang w:val="sq-AL"/>
        </w:rPr>
        <w:t>rkesave n</w:t>
      </w:r>
      <w:r w:rsidR="00C221F0" w:rsidRPr="00186CB6">
        <w:rPr>
          <w:rFonts w:ascii="Times New Roman" w:hAnsi="Times New Roman"/>
          <w:b/>
          <w:smallCaps/>
          <w:sz w:val="24"/>
          <w:szCs w:val="24"/>
          <w:lang w:val="sq-AL"/>
        </w:rPr>
        <w:t>ë</w:t>
      </w:r>
      <w:r w:rsidRPr="00186CB6">
        <w:rPr>
          <w:rFonts w:ascii="Times New Roman" w:hAnsi="Times New Roman"/>
          <w:b/>
          <w:smallCaps/>
          <w:sz w:val="24"/>
          <w:szCs w:val="24"/>
          <w:lang w:val="sq-AL"/>
        </w:rPr>
        <w:t xml:space="preserve"> gjykat</w:t>
      </w:r>
      <w:r w:rsidR="00C221F0" w:rsidRPr="00186CB6">
        <w:rPr>
          <w:rFonts w:ascii="Times New Roman" w:hAnsi="Times New Roman"/>
          <w:b/>
          <w:smallCaps/>
          <w:sz w:val="24"/>
          <w:szCs w:val="24"/>
          <w:lang w:val="sq-AL"/>
        </w:rPr>
        <w:t>ë</w:t>
      </w:r>
    </w:p>
    <w:p w14:paraId="15660AC4" w14:textId="77777777" w:rsidR="004A779C" w:rsidRPr="004968EB" w:rsidRDefault="004A779C" w:rsidP="004968EB">
      <w:pPr>
        <w:pStyle w:val="ListParagraph"/>
        <w:spacing w:after="0"/>
        <w:ind w:left="1080"/>
        <w:jc w:val="both"/>
        <w:rPr>
          <w:rFonts w:ascii="Times New Roman" w:hAnsi="Times New Roman"/>
          <w:smallCaps/>
          <w:sz w:val="24"/>
          <w:szCs w:val="24"/>
          <w:lang w:val="sq-AL"/>
        </w:rPr>
      </w:pPr>
    </w:p>
    <w:p w14:paraId="06B7BA27" w14:textId="0FD758B3" w:rsidR="00346063" w:rsidRPr="00186CB6" w:rsidRDefault="00346063" w:rsidP="00186CB6">
      <w:pPr>
        <w:pStyle w:val="ListParagraph"/>
        <w:numPr>
          <w:ilvl w:val="0"/>
          <w:numId w:val="19"/>
        </w:numPr>
        <w:spacing w:after="0"/>
        <w:jc w:val="both"/>
        <w:rPr>
          <w:rFonts w:ascii="Times New Roman" w:hAnsi="Times New Roman"/>
          <w:i/>
          <w:sz w:val="24"/>
          <w:szCs w:val="24"/>
          <w:lang w:val="sq-AL"/>
        </w:rPr>
      </w:pPr>
      <w:r w:rsidRPr="00186CB6">
        <w:rPr>
          <w:rFonts w:ascii="Times New Roman" w:hAnsi="Times New Roman"/>
          <w:i/>
          <w:sz w:val="24"/>
          <w:szCs w:val="24"/>
          <w:lang w:val="sq-AL"/>
        </w:rPr>
        <w:t>Efiçenca në hetimet hetimet paraprake dhe ndjekjen penale</w:t>
      </w:r>
    </w:p>
    <w:p w14:paraId="59269210" w14:textId="77777777" w:rsidR="00186CB6" w:rsidRPr="00186CB6" w:rsidRDefault="00186CB6" w:rsidP="00186CB6">
      <w:pPr>
        <w:spacing w:after="0"/>
        <w:jc w:val="both"/>
        <w:rPr>
          <w:rFonts w:ascii="Times New Roman" w:hAnsi="Times New Roman"/>
          <w:i/>
          <w:sz w:val="24"/>
          <w:szCs w:val="24"/>
          <w:lang w:val="sq-AL"/>
        </w:rPr>
      </w:pPr>
    </w:p>
    <w:p w14:paraId="40427AC1" w14:textId="77777777" w:rsidR="00FA61B5" w:rsidRDefault="0061008D" w:rsidP="00FA61B5">
      <w:pPr>
        <w:spacing w:after="0"/>
        <w:ind w:firstLine="360"/>
        <w:jc w:val="both"/>
        <w:rPr>
          <w:rFonts w:ascii="Times New Roman" w:hAnsi="Times New Roman"/>
          <w:sz w:val="24"/>
          <w:szCs w:val="24"/>
          <w:lang w:val="sq-AL"/>
        </w:rPr>
      </w:pPr>
      <w:r w:rsidRPr="004968EB">
        <w:rPr>
          <w:rFonts w:ascii="Times New Roman" w:hAnsi="Times New Roman"/>
          <w:noProof/>
          <w:sz w:val="24"/>
          <w:szCs w:val="24"/>
          <w:lang w:val="sq-AL"/>
        </w:rPr>
        <w:t>Gjatë vitit 2023 janë përfunduar 23419 çështje që përbën ulje prej 9,41 % të çështjeve  të përfunduara krahasuar me vitin 2022, prej të cilave: 41,21  % janë dërguar për gjykim, 25,76 % janë pushuar, 30,04  % janë pezulluar.</w:t>
      </w:r>
      <w:r w:rsidR="00FA61B5" w:rsidRPr="00FA61B5">
        <w:rPr>
          <w:rFonts w:ascii="Times New Roman" w:hAnsi="Times New Roman"/>
          <w:sz w:val="24"/>
          <w:szCs w:val="24"/>
          <w:lang w:val="sq-AL"/>
        </w:rPr>
        <w:t xml:space="preserve"> </w:t>
      </w:r>
    </w:p>
    <w:p w14:paraId="19E038D4" w14:textId="631DCC19" w:rsidR="0061008D" w:rsidRPr="004968EB" w:rsidRDefault="00FA61B5" w:rsidP="00FA61B5">
      <w:pPr>
        <w:spacing w:after="0"/>
        <w:ind w:firstLine="360"/>
        <w:jc w:val="both"/>
        <w:rPr>
          <w:rFonts w:ascii="Times New Roman" w:hAnsi="Times New Roman"/>
          <w:sz w:val="24"/>
          <w:szCs w:val="24"/>
          <w:lang w:val="sq-AL"/>
        </w:rPr>
      </w:pPr>
      <w:r w:rsidRPr="004968EB">
        <w:rPr>
          <w:rFonts w:ascii="Times New Roman" w:hAnsi="Times New Roman"/>
          <w:sz w:val="24"/>
          <w:szCs w:val="24"/>
          <w:lang w:val="sq-AL"/>
        </w:rPr>
        <w:t xml:space="preserve">Janë paraqitur në gjykatë 12259 kërkesa lidhur me masat e sigurimit personal. Lidhur me të dhënat për caktimin e masave të sigurimit shtrënguese për vitin 2023, për 55,31 % të të pandehurve të regjistruar ( 32,03 % të personave në hetim) është kërkuar caktimi i një mase sigurimi shtrënguese. Ndërkohë, rezulton se 59,32 % e kërkesave, lidhet me caktimin e një mase sigurimi me arrest, masa këto të kërkuara për  32,81 % të të pandehurve regjistruar ( 19 % të personave në hetim). </w:t>
      </w:r>
      <w:r w:rsidR="009A73CB">
        <w:rPr>
          <w:rFonts w:ascii="Times New Roman" w:hAnsi="Times New Roman"/>
          <w:sz w:val="24"/>
          <w:szCs w:val="24"/>
          <w:lang w:val="sq-AL"/>
        </w:rPr>
        <w:t>Në raport me vitin 2002, në tërësi vihet re një tendencë ashpërsimi në aplikimin e masave të sigurimit.</w:t>
      </w:r>
    </w:p>
    <w:p w14:paraId="08C2FE2C" w14:textId="044D499F" w:rsidR="0061008D" w:rsidRPr="004968EB" w:rsidRDefault="0061008D" w:rsidP="00FA61B5">
      <w:pPr>
        <w:spacing w:after="0"/>
        <w:ind w:firstLine="360"/>
        <w:jc w:val="both"/>
        <w:rPr>
          <w:rFonts w:ascii="Times New Roman" w:hAnsi="Times New Roman"/>
          <w:sz w:val="24"/>
          <w:szCs w:val="24"/>
          <w:lang w:val="sq-AL"/>
        </w:rPr>
      </w:pPr>
      <w:r w:rsidRPr="004968EB">
        <w:rPr>
          <w:rFonts w:ascii="Times New Roman" w:hAnsi="Times New Roman"/>
          <w:noProof/>
          <w:sz w:val="24"/>
          <w:szCs w:val="24"/>
          <w:lang w:val="sq-AL"/>
        </w:rPr>
        <w:t>Janë dërguar në gjykatë 9652 çështje me akuzë ndaj 11401 të pandehurve. Krahasimisht me vitin 2022 rezulton një ulje prej 12,13 % e numrit të çështjeve të dërguara në gjykatë dhe 11,87 % e numrit të të pandehurve dërguar në gjykatë.</w:t>
      </w:r>
      <w:r w:rsidR="00FA61B5" w:rsidRPr="00FA61B5">
        <w:rPr>
          <w:rFonts w:ascii="Times New Roman" w:hAnsi="Times New Roman"/>
          <w:sz w:val="24"/>
          <w:szCs w:val="24"/>
          <w:lang w:val="sq-AL"/>
        </w:rPr>
        <w:t xml:space="preserve"> </w:t>
      </w:r>
      <w:r w:rsidR="00FA61B5" w:rsidRPr="004968EB">
        <w:rPr>
          <w:rFonts w:ascii="Times New Roman" w:hAnsi="Times New Roman"/>
          <w:sz w:val="24"/>
          <w:szCs w:val="24"/>
          <w:lang w:val="sq-AL"/>
        </w:rPr>
        <w:t>Raporti ndërmjet çështjeve dërguar në gjykatë dhe çështjeve të pus</w:t>
      </w:r>
      <w:r w:rsidR="00FA61B5">
        <w:rPr>
          <w:rFonts w:ascii="Times New Roman" w:hAnsi="Times New Roman"/>
          <w:sz w:val="24"/>
          <w:szCs w:val="24"/>
          <w:lang w:val="sq-AL"/>
        </w:rPr>
        <w:t>huara është 61,54 % me 38,46 %.</w:t>
      </w:r>
    </w:p>
    <w:p w14:paraId="1695DF66" w14:textId="77777777" w:rsidR="0061008D" w:rsidRPr="004968EB" w:rsidRDefault="0061008D" w:rsidP="004968EB">
      <w:pPr>
        <w:spacing w:after="0"/>
        <w:ind w:firstLine="360"/>
        <w:jc w:val="both"/>
        <w:rPr>
          <w:rFonts w:ascii="Times New Roman" w:hAnsi="Times New Roman"/>
          <w:noProof/>
          <w:sz w:val="24"/>
          <w:szCs w:val="24"/>
          <w:lang w:val="sq-AL"/>
        </w:rPr>
      </w:pPr>
      <w:r w:rsidRPr="004968EB">
        <w:rPr>
          <w:rFonts w:ascii="Times New Roman" w:hAnsi="Times New Roman"/>
          <w:noProof/>
          <w:sz w:val="24"/>
          <w:szCs w:val="24"/>
          <w:lang w:val="sq-AL"/>
        </w:rPr>
        <w:t xml:space="preserve">Në gjykatë janë dërguar 136 kërkesa për miratim të urdhrit penal në lidhje me 139 të pandehur ose krahasuar me vitin 2022 me ulje 46,46 % e numrit të kërkesave dhe ulje 47,55 % e numrit të të pandehurve, ndërsa nga gjykata është vendosur refuzimi i miratimit të urdhrit penal dhe kthimi i akteve në 5 raste ndaj 8 rasteve në vitin 2022 dhe refuzimi i urdhrit penal dhe pushimi i çështjes në 3 raste, ndaj 1 rasti në vitin 2022. </w:t>
      </w:r>
    </w:p>
    <w:p w14:paraId="0EA7FDCF" w14:textId="33756B5F" w:rsidR="0061008D" w:rsidRPr="004968EB" w:rsidRDefault="0061008D" w:rsidP="004968EB">
      <w:pPr>
        <w:spacing w:after="0"/>
        <w:ind w:firstLine="360"/>
        <w:jc w:val="both"/>
        <w:rPr>
          <w:rFonts w:ascii="Times New Roman" w:hAnsi="Times New Roman"/>
          <w:noProof/>
          <w:sz w:val="24"/>
          <w:szCs w:val="24"/>
          <w:lang w:val="sq-AL"/>
        </w:rPr>
      </w:pPr>
      <w:r w:rsidRPr="004968EB">
        <w:rPr>
          <w:rFonts w:ascii="Times New Roman" w:hAnsi="Times New Roman"/>
          <w:noProof/>
          <w:sz w:val="24"/>
          <w:szCs w:val="24"/>
          <w:lang w:val="sq-AL"/>
        </w:rPr>
        <w:t xml:space="preserve">Në gjykatë gjithashtu janë dërguar 143 kërkesa për miratim të marrëveshjes së fajësisë në lidhje me 148 të pandehur ose krahasuar me vitin 2022 me ulje 46,04 % të numrit të kërkesave për miratim marrëveshje dhe ulje 44,78 % të numrit të të pandehurve, ndërkohë nga gjykata është vendosur refuzimi i miratimit të marrëveshjes dhe kthimi i akteve në 5 raste, tregues në ulje krahasuar me 12 raste në vitin 2022, dhe refuzimi i miratimit të marrëveshjes dhe pushimi i çështjes në asnjë rast ndaj 5 rasteve në vitin 2022. </w:t>
      </w:r>
    </w:p>
    <w:p w14:paraId="3AA4E6E4" w14:textId="2EB7457E" w:rsidR="00F9264E" w:rsidRPr="004968EB" w:rsidRDefault="00F9264E" w:rsidP="004968EB">
      <w:pPr>
        <w:spacing w:after="0"/>
        <w:ind w:firstLine="360"/>
        <w:jc w:val="both"/>
        <w:rPr>
          <w:rFonts w:ascii="Times New Roman" w:hAnsi="Times New Roman"/>
          <w:noProof/>
          <w:sz w:val="24"/>
          <w:szCs w:val="24"/>
          <w:lang w:val="sq-AL"/>
        </w:rPr>
      </w:pPr>
      <w:r w:rsidRPr="004968EB">
        <w:rPr>
          <w:rFonts w:ascii="Times New Roman" w:hAnsi="Times New Roman"/>
          <w:noProof/>
          <w:sz w:val="24"/>
          <w:szCs w:val="24"/>
          <w:lang w:val="sq-AL"/>
        </w:rPr>
        <w:t>Ndërkohë, është kërkuar gjykimi i drejtëpërdrejtë për 283 çështje me 286 të pandehur, që krahasuar me vitin 2022, përbëjnë rritje prej 15,51 % të numrit të çështjeve dhe 15,79 % të numrit të të pandehurve për të cilët është kërkuar ky lloj gjykimi</w:t>
      </w:r>
    </w:p>
    <w:p w14:paraId="35F53D37" w14:textId="0FA71889" w:rsidR="006F4E3A" w:rsidRDefault="0061008D" w:rsidP="004968EB">
      <w:pPr>
        <w:spacing w:after="0"/>
        <w:ind w:firstLine="360"/>
        <w:jc w:val="both"/>
        <w:rPr>
          <w:rFonts w:ascii="Times New Roman" w:hAnsi="Times New Roman"/>
          <w:noProof/>
          <w:sz w:val="24"/>
          <w:szCs w:val="24"/>
          <w:lang w:val="sq-AL"/>
        </w:rPr>
      </w:pPr>
      <w:r w:rsidRPr="004968EB">
        <w:rPr>
          <w:rFonts w:ascii="Times New Roman" w:hAnsi="Times New Roman"/>
          <w:noProof/>
          <w:sz w:val="24"/>
          <w:szCs w:val="24"/>
          <w:lang w:val="sq-AL"/>
        </w:rPr>
        <w:t>Gjatë vitit 2023, u dërguan në gjykatë për pushim 4912 çështje ose me ulje 9,71 % krahasuar me vitin 2022. Nga të dhënat rezulton se për 133 çështje gjykata ka vendosur kthimin e akteve dhe vazhdimin e hetimeve ose me ulje 5 % krahasuar me vitin 2022, ndërsa në 3 çështje është vendosur kthimi i akteve dhe formulimi i akuzës, shifër në ulje krahasuar me 6 çështje për të cilat janë kthyer aktet pë</w:t>
      </w:r>
      <w:r w:rsidR="004B3D4F" w:rsidRPr="004968EB">
        <w:rPr>
          <w:rFonts w:ascii="Times New Roman" w:hAnsi="Times New Roman"/>
          <w:noProof/>
          <w:sz w:val="24"/>
          <w:szCs w:val="24"/>
          <w:lang w:val="sq-AL"/>
        </w:rPr>
        <w:t>r formulim akuze në vitin 2022.</w:t>
      </w:r>
    </w:p>
    <w:p w14:paraId="1864E756" w14:textId="77777777" w:rsidR="00FA61B5" w:rsidRPr="004968EB" w:rsidRDefault="00FA61B5" w:rsidP="004968EB">
      <w:pPr>
        <w:spacing w:after="0"/>
        <w:ind w:firstLine="360"/>
        <w:jc w:val="both"/>
        <w:rPr>
          <w:rFonts w:ascii="Times New Roman" w:hAnsi="Times New Roman"/>
          <w:noProof/>
          <w:sz w:val="24"/>
          <w:szCs w:val="24"/>
          <w:lang w:val="sq-AL"/>
        </w:rPr>
      </w:pPr>
    </w:p>
    <w:p w14:paraId="1C3A3B5A" w14:textId="77777777" w:rsidR="00E60A23" w:rsidRPr="00186CB6" w:rsidRDefault="00E60A23" w:rsidP="004968EB">
      <w:pPr>
        <w:spacing w:after="0"/>
        <w:ind w:firstLine="360"/>
        <w:jc w:val="both"/>
        <w:rPr>
          <w:rFonts w:ascii="Times New Roman" w:hAnsi="Times New Roman"/>
          <w:i/>
          <w:sz w:val="24"/>
          <w:szCs w:val="24"/>
          <w:lang w:val="sq-AL"/>
        </w:rPr>
      </w:pPr>
      <w:r w:rsidRPr="00186CB6">
        <w:rPr>
          <w:rFonts w:ascii="Times New Roman" w:hAnsi="Times New Roman"/>
          <w:b/>
          <w:i/>
          <w:sz w:val="24"/>
          <w:szCs w:val="24"/>
          <w:lang w:val="sq-AL"/>
        </w:rPr>
        <w:t>2.</w:t>
      </w:r>
      <w:r w:rsidRPr="00186CB6">
        <w:rPr>
          <w:rFonts w:ascii="Times New Roman" w:hAnsi="Times New Roman"/>
          <w:i/>
          <w:sz w:val="24"/>
          <w:szCs w:val="24"/>
          <w:lang w:val="sq-AL"/>
        </w:rPr>
        <w:t xml:space="preserve"> Efiçenca në kërkesat për gjykim dhe p</w:t>
      </w:r>
      <w:r w:rsidR="00336B6F" w:rsidRPr="00186CB6">
        <w:rPr>
          <w:rFonts w:ascii="Times New Roman" w:hAnsi="Times New Roman"/>
          <w:i/>
          <w:sz w:val="24"/>
          <w:szCs w:val="24"/>
          <w:lang w:val="sq-AL"/>
        </w:rPr>
        <w:t>ë</w:t>
      </w:r>
      <w:r w:rsidRPr="00186CB6">
        <w:rPr>
          <w:rFonts w:ascii="Times New Roman" w:hAnsi="Times New Roman"/>
          <w:i/>
          <w:sz w:val="24"/>
          <w:szCs w:val="24"/>
          <w:lang w:val="sq-AL"/>
        </w:rPr>
        <w:t>rfaq</w:t>
      </w:r>
      <w:r w:rsidR="00336B6F" w:rsidRPr="00186CB6">
        <w:rPr>
          <w:rFonts w:ascii="Times New Roman" w:hAnsi="Times New Roman"/>
          <w:i/>
          <w:sz w:val="24"/>
          <w:szCs w:val="24"/>
          <w:lang w:val="sq-AL"/>
        </w:rPr>
        <w:t>ë</w:t>
      </w:r>
      <w:r w:rsidRPr="00186CB6">
        <w:rPr>
          <w:rFonts w:ascii="Times New Roman" w:hAnsi="Times New Roman"/>
          <w:i/>
          <w:sz w:val="24"/>
          <w:szCs w:val="24"/>
          <w:lang w:val="sq-AL"/>
        </w:rPr>
        <w:t>simin e çështjes/akuz</w:t>
      </w:r>
      <w:r w:rsidR="00336B6F" w:rsidRPr="00186CB6">
        <w:rPr>
          <w:rFonts w:ascii="Times New Roman" w:hAnsi="Times New Roman"/>
          <w:i/>
          <w:sz w:val="24"/>
          <w:szCs w:val="24"/>
          <w:lang w:val="sq-AL"/>
        </w:rPr>
        <w:t>ë</w:t>
      </w:r>
      <w:r w:rsidRPr="00186CB6">
        <w:rPr>
          <w:rFonts w:ascii="Times New Roman" w:hAnsi="Times New Roman"/>
          <w:i/>
          <w:sz w:val="24"/>
          <w:szCs w:val="24"/>
          <w:lang w:val="sq-AL"/>
        </w:rPr>
        <w:t xml:space="preserve">s në gjykatë </w:t>
      </w:r>
    </w:p>
    <w:p w14:paraId="24CC5A9B" w14:textId="77777777" w:rsidR="00186CB6" w:rsidRDefault="00186CB6" w:rsidP="004968EB">
      <w:pPr>
        <w:spacing w:after="0"/>
        <w:ind w:firstLine="360"/>
        <w:jc w:val="both"/>
        <w:rPr>
          <w:rFonts w:ascii="Times New Roman" w:hAnsi="Times New Roman"/>
          <w:noProof/>
          <w:sz w:val="24"/>
          <w:szCs w:val="24"/>
          <w:lang w:val="sq-AL"/>
        </w:rPr>
      </w:pPr>
    </w:p>
    <w:p w14:paraId="734F7283" w14:textId="4F9B0244" w:rsidR="00F9264E" w:rsidRPr="004968EB" w:rsidRDefault="00F9264E" w:rsidP="004968EB">
      <w:pPr>
        <w:spacing w:after="0"/>
        <w:ind w:firstLine="360"/>
        <w:jc w:val="both"/>
        <w:rPr>
          <w:rFonts w:ascii="Times New Roman" w:hAnsi="Times New Roman"/>
          <w:noProof/>
          <w:sz w:val="24"/>
          <w:szCs w:val="24"/>
          <w:highlight w:val="yellow"/>
          <w:lang w:val="sq-AL"/>
        </w:rPr>
      </w:pPr>
      <w:r w:rsidRPr="004968EB">
        <w:rPr>
          <w:rFonts w:ascii="Times New Roman" w:hAnsi="Times New Roman"/>
          <w:noProof/>
          <w:sz w:val="24"/>
          <w:szCs w:val="24"/>
          <w:lang w:val="sq-AL"/>
        </w:rPr>
        <w:t>Në lidhje me vendimet e gjykatës, nga të dhënat statistikore rezulton se në vitin 2023 janë dënuar 7254 të pandehur dhe për 199 të pandehur është dhënë vendim për deklarimin të pafajshëm ose për 2,67 %.</w:t>
      </w:r>
    </w:p>
    <w:p w14:paraId="3A47B0E7" w14:textId="223BCCC0" w:rsidR="00E67EC7" w:rsidRDefault="00F9264E" w:rsidP="009A73CB">
      <w:pPr>
        <w:spacing w:after="0"/>
        <w:ind w:firstLine="360"/>
        <w:jc w:val="both"/>
        <w:rPr>
          <w:rFonts w:ascii="Times New Roman" w:hAnsi="Times New Roman"/>
          <w:sz w:val="24"/>
          <w:szCs w:val="24"/>
          <w:lang w:val="sq-AL"/>
        </w:rPr>
      </w:pPr>
      <w:r w:rsidRPr="004968EB">
        <w:rPr>
          <w:rFonts w:ascii="Times New Roman" w:hAnsi="Times New Roman"/>
          <w:sz w:val="24"/>
          <w:szCs w:val="24"/>
          <w:lang w:val="sq-AL"/>
        </w:rPr>
        <w:t xml:space="preserve">Nga të dhënat statistikore rezulton se në vitin 2023 urdhrat për ekzekutim e vendimeve gjyqësore penale të formës së prerë (në vijim: vendime) të dënimeve kryesore me burgim, gjobë dhe dënime plotësuese, zënë 35,40 % të totalit të urdhrave për ekzekutim të lëshuara nga prokurori, ndërsa urdhrat për ekzekutim të dënimeve alternative zënë 64,60 % të totalit të urdhrave për ekzekutim të lëshuara nga prokurori. </w:t>
      </w:r>
      <w:r w:rsidR="00FA61B5" w:rsidRPr="004968EB">
        <w:rPr>
          <w:rFonts w:ascii="Times New Roman" w:hAnsi="Times New Roman"/>
          <w:sz w:val="24"/>
          <w:szCs w:val="24"/>
          <w:lang w:val="sq-AL"/>
        </w:rPr>
        <w:t xml:space="preserve">Gjatë vitit 2023 janë ekzekutuar 4627 vendime, ndërsa kanë mbetur pa u ekzekutuar 2093 vendime. </w:t>
      </w:r>
    </w:p>
    <w:p w14:paraId="6B2AA928" w14:textId="77777777" w:rsidR="009A73CB" w:rsidRPr="004968EB" w:rsidRDefault="009A73CB" w:rsidP="009A73CB">
      <w:pPr>
        <w:spacing w:after="0"/>
        <w:ind w:firstLine="360"/>
        <w:jc w:val="both"/>
        <w:rPr>
          <w:rFonts w:ascii="Times New Roman" w:hAnsi="Times New Roman"/>
          <w:sz w:val="24"/>
          <w:szCs w:val="24"/>
          <w:lang w:val="sq-AL"/>
        </w:rPr>
      </w:pPr>
    </w:p>
    <w:p w14:paraId="0430296F" w14:textId="30498E56" w:rsidR="002D42E3" w:rsidRDefault="00E60A23" w:rsidP="004968EB">
      <w:pPr>
        <w:spacing w:after="0"/>
        <w:ind w:firstLine="360"/>
        <w:jc w:val="both"/>
        <w:rPr>
          <w:rFonts w:ascii="Times New Roman" w:hAnsi="Times New Roman"/>
          <w:i/>
          <w:sz w:val="24"/>
          <w:szCs w:val="24"/>
          <w:lang w:val="sq-AL"/>
        </w:rPr>
      </w:pPr>
      <w:r w:rsidRPr="00186CB6">
        <w:rPr>
          <w:rFonts w:ascii="Times New Roman" w:hAnsi="Times New Roman"/>
          <w:b/>
          <w:i/>
          <w:noProof/>
          <w:sz w:val="24"/>
          <w:szCs w:val="24"/>
          <w:lang w:val="sq-AL"/>
        </w:rPr>
        <w:t>3.</w:t>
      </w:r>
      <w:r w:rsidR="00E67EC7" w:rsidRPr="00186CB6">
        <w:rPr>
          <w:rFonts w:ascii="Times New Roman" w:hAnsi="Times New Roman"/>
          <w:i/>
          <w:noProof/>
          <w:sz w:val="24"/>
          <w:szCs w:val="24"/>
          <w:lang w:val="sq-AL"/>
        </w:rPr>
        <w:t xml:space="preserve"> Efektiviteti i ndjekjes penale </w:t>
      </w:r>
      <w:r w:rsidR="00D0777F" w:rsidRPr="00186CB6">
        <w:rPr>
          <w:rFonts w:ascii="Times New Roman" w:hAnsi="Times New Roman"/>
          <w:i/>
          <w:noProof/>
          <w:sz w:val="24"/>
          <w:szCs w:val="24"/>
          <w:lang w:val="sq-AL"/>
        </w:rPr>
        <w:t>për</w:t>
      </w:r>
      <w:r w:rsidR="00E67EC7" w:rsidRPr="00186CB6">
        <w:rPr>
          <w:rFonts w:ascii="Times New Roman" w:hAnsi="Times New Roman"/>
          <w:i/>
          <w:noProof/>
          <w:sz w:val="24"/>
          <w:szCs w:val="24"/>
          <w:lang w:val="sq-AL"/>
        </w:rPr>
        <w:t xml:space="preserve"> </w:t>
      </w:r>
      <w:r w:rsidR="00D0777F" w:rsidRPr="00186CB6">
        <w:rPr>
          <w:rFonts w:ascii="Times New Roman" w:hAnsi="Times New Roman"/>
          <w:i/>
          <w:noProof/>
          <w:sz w:val="24"/>
          <w:szCs w:val="24"/>
          <w:lang w:val="sq-AL"/>
        </w:rPr>
        <w:t xml:space="preserve">disa </w:t>
      </w:r>
      <w:r w:rsidR="00E67EC7" w:rsidRPr="00186CB6">
        <w:rPr>
          <w:rFonts w:ascii="Times New Roman" w:hAnsi="Times New Roman"/>
          <w:i/>
          <w:noProof/>
          <w:sz w:val="24"/>
          <w:szCs w:val="24"/>
          <w:lang w:val="sq-AL"/>
        </w:rPr>
        <w:t>grupvepra penale me tendencë në rritje ose në ulje</w:t>
      </w:r>
      <w:r w:rsidR="0003056A" w:rsidRPr="00186CB6">
        <w:rPr>
          <w:rFonts w:ascii="Times New Roman" w:hAnsi="Times New Roman"/>
          <w:i/>
          <w:noProof/>
          <w:sz w:val="24"/>
          <w:szCs w:val="24"/>
          <w:lang w:val="sq-AL"/>
        </w:rPr>
        <w:t xml:space="preserve"> sipas shtrirjes gjeografike</w:t>
      </w:r>
      <w:r w:rsidR="0043065B" w:rsidRPr="00186CB6">
        <w:rPr>
          <w:rFonts w:ascii="Times New Roman" w:hAnsi="Times New Roman"/>
          <w:i/>
          <w:noProof/>
          <w:sz w:val="24"/>
          <w:szCs w:val="24"/>
          <w:lang w:val="sq-AL"/>
        </w:rPr>
        <w:t xml:space="preserve">, </w:t>
      </w:r>
      <w:r w:rsidRPr="00186CB6">
        <w:rPr>
          <w:rFonts w:ascii="Times New Roman" w:hAnsi="Times New Roman"/>
          <w:i/>
          <w:sz w:val="24"/>
          <w:szCs w:val="24"/>
          <w:lang w:val="sq-AL"/>
        </w:rPr>
        <w:t>në vitin 2022</w:t>
      </w:r>
    </w:p>
    <w:p w14:paraId="10E6388F" w14:textId="77777777" w:rsidR="00186CB6" w:rsidRPr="00186CB6" w:rsidRDefault="00186CB6" w:rsidP="004968EB">
      <w:pPr>
        <w:spacing w:after="0"/>
        <w:ind w:firstLine="360"/>
        <w:jc w:val="both"/>
        <w:rPr>
          <w:rFonts w:ascii="Times New Roman" w:hAnsi="Times New Roman"/>
          <w:i/>
          <w:noProof/>
          <w:sz w:val="24"/>
          <w:szCs w:val="24"/>
          <w:lang w:val="sq-AL"/>
        </w:rPr>
      </w:pPr>
    </w:p>
    <w:p w14:paraId="5AA009CC" w14:textId="139B78B0" w:rsidR="001E4957" w:rsidRPr="004968EB" w:rsidRDefault="002D42E3" w:rsidP="004968EB">
      <w:pPr>
        <w:spacing w:after="0"/>
        <w:ind w:firstLine="360"/>
        <w:jc w:val="both"/>
        <w:rPr>
          <w:rFonts w:ascii="Times New Roman" w:hAnsi="Times New Roman"/>
          <w:noProof/>
          <w:sz w:val="24"/>
          <w:szCs w:val="24"/>
          <w:lang w:val="sq-AL"/>
        </w:rPr>
      </w:pPr>
      <w:r w:rsidRPr="00186CB6">
        <w:rPr>
          <w:rFonts w:ascii="Times New Roman" w:hAnsi="Times New Roman"/>
          <w:b/>
          <w:noProof/>
          <w:sz w:val="24"/>
          <w:szCs w:val="24"/>
          <w:lang w:val="sq-AL"/>
        </w:rPr>
        <w:t>i)</w:t>
      </w:r>
      <w:r w:rsidRPr="004968EB">
        <w:rPr>
          <w:rFonts w:ascii="Times New Roman" w:hAnsi="Times New Roman"/>
          <w:noProof/>
          <w:sz w:val="24"/>
          <w:szCs w:val="24"/>
          <w:lang w:val="sq-AL"/>
        </w:rPr>
        <w:t xml:space="preserve"> </w:t>
      </w:r>
      <w:r w:rsidR="00FF441B" w:rsidRPr="004968EB">
        <w:rPr>
          <w:rFonts w:ascii="Times New Roman" w:hAnsi="Times New Roman"/>
          <w:noProof/>
          <w:sz w:val="24"/>
          <w:szCs w:val="24"/>
          <w:lang w:val="sq-AL"/>
        </w:rPr>
        <w:t>Prokurorët në prokuroritë e juridiksionit të përgjithshëm në bashkëpunim me shërbimet e policisë gjyqësore në Policinë e Shtetit dhe agjencitë e</w:t>
      </w:r>
      <w:r w:rsidR="001E4957" w:rsidRPr="004968EB">
        <w:rPr>
          <w:rFonts w:ascii="Times New Roman" w:hAnsi="Times New Roman"/>
          <w:noProof/>
          <w:sz w:val="24"/>
          <w:szCs w:val="24"/>
          <w:lang w:val="sq-AL"/>
        </w:rPr>
        <w:t xml:space="preserve"> zbatimit të ligjit, kanë vijuar</w:t>
      </w:r>
      <w:r w:rsidR="00FF441B" w:rsidRPr="004968EB">
        <w:rPr>
          <w:rFonts w:ascii="Times New Roman" w:hAnsi="Times New Roman"/>
          <w:noProof/>
          <w:sz w:val="24"/>
          <w:szCs w:val="24"/>
          <w:lang w:val="sq-AL"/>
        </w:rPr>
        <w:t xml:space="preserve"> rolin aktiv në kryerjen e hetime proaktive dhe/ose me përdorim të mjeteve të posaçme të hetimit, në ku</w:t>
      </w:r>
      <w:r w:rsidR="001E4957" w:rsidRPr="004968EB">
        <w:rPr>
          <w:rFonts w:ascii="Times New Roman" w:hAnsi="Times New Roman"/>
          <w:noProof/>
          <w:sz w:val="24"/>
          <w:szCs w:val="24"/>
          <w:lang w:val="sq-AL"/>
        </w:rPr>
        <w:t>adrin e 514</w:t>
      </w:r>
      <w:r w:rsidR="00B41E36" w:rsidRPr="004968EB">
        <w:rPr>
          <w:rFonts w:ascii="Times New Roman" w:hAnsi="Times New Roman"/>
          <w:noProof/>
          <w:sz w:val="24"/>
          <w:szCs w:val="24"/>
          <w:lang w:val="sq-AL"/>
        </w:rPr>
        <w:t xml:space="preserve"> procedimeve penale ku jan</w:t>
      </w:r>
      <w:r w:rsidR="00F460B6" w:rsidRPr="004968EB">
        <w:rPr>
          <w:rFonts w:ascii="Times New Roman" w:hAnsi="Times New Roman"/>
          <w:noProof/>
          <w:sz w:val="24"/>
          <w:szCs w:val="24"/>
          <w:lang w:val="sq-AL"/>
        </w:rPr>
        <w:t>ë</w:t>
      </w:r>
      <w:r w:rsidR="00B41E36" w:rsidRPr="004968EB">
        <w:rPr>
          <w:rFonts w:ascii="Times New Roman" w:hAnsi="Times New Roman"/>
          <w:noProof/>
          <w:sz w:val="24"/>
          <w:szCs w:val="24"/>
          <w:lang w:val="sq-AL"/>
        </w:rPr>
        <w:t xml:space="preserve"> arrest</w:t>
      </w:r>
      <w:r w:rsidR="001E4957" w:rsidRPr="004968EB">
        <w:rPr>
          <w:rFonts w:ascii="Times New Roman" w:hAnsi="Times New Roman"/>
          <w:noProof/>
          <w:sz w:val="24"/>
          <w:szCs w:val="24"/>
          <w:lang w:val="sq-AL"/>
        </w:rPr>
        <w:t xml:space="preserve">uar në flagrancë apo ndaluar 474 persona të dyshuar për krime kundër rendit dhe sigurisë publike, kundër jetës dhe kundër autoritetit të shtetit, dhe për vepra penale kundër lirisë së personit, korrupsion, shpërdorim detyre, në fushën e narkotikëve, pastrimi produkteve të veprimtarisë kriminale, trafiqe të paligjshme e vepra të tjera të rënda, duke parandaluar kështu pasoja të mëtejshme për shtetin dhe shtetasit.  </w:t>
      </w:r>
    </w:p>
    <w:p w14:paraId="32BD0627" w14:textId="0361552C" w:rsidR="001E4957" w:rsidRPr="004968EB" w:rsidRDefault="001E4957" w:rsidP="004968EB">
      <w:pPr>
        <w:spacing w:after="0"/>
        <w:ind w:firstLine="360"/>
        <w:jc w:val="both"/>
        <w:rPr>
          <w:rFonts w:ascii="Times New Roman" w:hAnsi="Times New Roman"/>
          <w:noProof/>
          <w:sz w:val="24"/>
          <w:szCs w:val="24"/>
          <w:lang w:val="sq-AL"/>
        </w:rPr>
      </w:pPr>
      <w:r w:rsidRPr="00186CB6">
        <w:rPr>
          <w:rFonts w:ascii="Times New Roman" w:hAnsi="Times New Roman"/>
          <w:b/>
          <w:noProof/>
          <w:sz w:val="24"/>
          <w:szCs w:val="24"/>
          <w:lang w:val="sq-AL"/>
        </w:rPr>
        <w:t>ii)</w:t>
      </w:r>
      <w:r w:rsidRPr="004968EB">
        <w:rPr>
          <w:rFonts w:ascii="Times New Roman" w:hAnsi="Times New Roman"/>
          <w:noProof/>
          <w:sz w:val="24"/>
          <w:szCs w:val="24"/>
          <w:lang w:val="sq-AL"/>
        </w:rPr>
        <w:t xml:space="preserve">  Në shifra të përgjithshme, gjatë vitit 2023 janë ekzekutuar 1121 vendime për përgjim të autorizuara nga gjykata në hetimet paraprake dhe 456 autorizime dhe urdhra të prokurorit. Për sa më sipër është mundësuar interceptimi për 2675 pajisje fundore në përdorim të 2492 personave të dyshuar si të përfshirë në vepra penale.</w:t>
      </w:r>
    </w:p>
    <w:p w14:paraId="2B5BBC0A" w14:textId="33A0CCD1" w:rsidR="00316A9D" w:rsidRPr="004968EB" w:rsidRDefault="002D42E3" w:rsidP="004968EB">
      <w:pPr>
        <w:spacing w:after="0"/>
        <w:ind w:firstLine="360"/>
        <w:jc w:val="both"/>
        <w:rPr>
          <w:rFonts w:ascii="Times New Roman" w:hAnsi="Times New Roman"/>
          <w:sz w:val="24"/>
          <w:szCs w:val="24"/>
          <w:lang w:val="sq-AL"/>
        </w:rPr>
      </w:pPr>
      <w:r w:rsidRPr="00186CB6">
        <w:rPr>
          <w:rFonts w:ascii="Times New Roman" w:hAnsi="Times New Roman"/>
          <w:b/>
          <w:sz w:val="24"/>
          <w:szCs w:val="24"/>
          <w:lang w:val="sq-AL"/>
        </w:rPr>
        <w:t>ii</w:t>
      </w:r>
      <w:r w:rsidR="00186CB6" w:rsidRPr="00186CB6">
        <w:rPr>
          <w:rFonts w:ascii="Times New Roman" w:hAnsi="Times New Roman"/>
          <w:b/>
          <w:sz w:val="24"/>
          <w:szCs w:val="24"/>
          <w:lang w:val="sq-AL"/>
        </w:rPr>
        <w:t>i</w:t>
      </w:r>
      <w:r w:rsidRPr="00186CB6">
        <w:rPr>
          <w:rFonts w:ascii="Times New Roman" w:hAnsi="Times New Roman"/>
          <w:b/>
          <w:sz w:val="24"/>
          <w:szCs w:val="24"/>
          <w:lang w:val="sq-AL"/>
        </w:rPr>
        <w:t>)</w:t>
      </w:r>
      <w:r w:rsidRPr="004968EB">
        <w:rPr>
          <w:rFonts w:ascii="Times New Roman" w:hAnsi="Times New Roman"/>
          <w:sz w:val="24"/>
          <w:szCs w:val="24"/>
          <w:lang w:val="sq-AL"/>
        </w:rPr>
        <w:t xml:space="preserve"> </w:t>
      </w:r>
      <w:r w:rsidR="00D0777F" w:rsidRPr="004968EB">
        <w:rPr>
          <w:rFonts w:ascii="Times New Roman" w:hAnsi="Times New Roman"/>
          <w:sz w:val="24"/>
          <w:szCs w:val="24"/>
          <w:lang w:val="sq-AL"/>
        </w:rPr>
        <w:t>Për veprat penale të korrupsionit n</w:t>
      </w:r>
      <w:r w:rsidR="00B35256" w:rsidRPr="004968EB">
        <w:rPr>
          <w:rFonts w:ascii="Times New Roman" w:hAnsi="Times New Roman"/>
          <w:sz w:val="24"/>
          <w:szCs w:val="24"/>
          <w:lang w:val="sq-AL"/>
        </w:rPr>
        <w:t>ë</w:t>
      </w:r>
      <w:r w:rsidR="00D0777F" w:rsidRPr="004968EB">
        <w:rPr>
          <w:rFonts w:ascii="Times New Roman" w:hAnsi="Times New Roman"/>
          <w:sz w:val="24"/>
          <w:szCs w:val="24"/>
          <w:lang w:val="sq-AL"/>
        </w:rPr>
        <w:t xml:space="preserve"> kompetenc</w:t>
      </w:r>
      <w:r w:rsidR="00B35256" w:rsidRPr="004968EB">
        <w:rPr>
          <w:rFonts w:ascii="Times New Roman" w:hAnsi="Times New Roman"/>
          <w:sz w:val="24"/>
          <w:szCs w:val="24"/>
          <w:lang w:val="sq-AL"/>
        </w:rPr>
        <w:t>ë</w:t>
      </w:r>
      <w:r w:rsidR="00D0777F" w:rsidRPr="004968EB">
        <w:rPr>
          <w:rFonts w:ascii="Times New Roman" w:hAnsi="Times New Roman"/>
          <w:sz w:val="24"/>
          <w:szCs w:val="24"/>
          <w:lang w:val="sq-AL"/>
        </w:rPr>
        <w:t xml:space="preserve"> l</w:t>
      </w:r>
      <w:r w:rsidR="00B35256" w:rsidRPr="004968EB">
        <w:rPr>
          <w:rFonts w:ascii="Times New Roman" w:hAnsi="Times New Roman"/>
          <w:sz w:val="24"/>
          <w:szCs w:val="24"/>
          <w:lang w:val="sq-AL"/>
        </w:rPr>
        <w:t>ë</w:t>
      </w:r>
      <w:r w:rsidR="00D0777F" w:rsidRPr="004968EB">
        <w:rPr>
          <w:rFonts w:ascii="Times New Roman" w:hAnsi="Times New Roman"/>
          <w:sz w:val="24"/>
          <w:szCs w:val="24"/>
          <w:lang w:val="sq-AL"/>
        </w:rPr>
        <w:t>ndore t</w:t>
      </w:r>
      <w:r w:rsidR="00B35256" w:rsidRPr="004968EB">
        <w:rPr>
          <w:rFonts w:ascii="Times New Roman" w:hAnsi="Times New Roman"/>
          <w:sz w:val="24"/>
          <w:szCs w:val="24"/>
          <w:lang w:val="sq-AL"/>
        </w:rPr>
        <w:t>ë</w:t>
      </w:r>
      <w:r w:rsidR="00D0777F" w:rsidRPr="004968EB">
        <w:rPr>
          <w:rFonts w:ascii="Times New Roman" w:hAnsi="Times New Roman"/>
          <w:sz w:val="24"/>
          <w:szCs w:val="24"/>
          <w:lang w:val="sq-AL"/>
        </w:rPr>
        <w:t xml:space="preserve"> prokurorive të juridiksionit t</w:t>
      </w:r>
      <w:r w:rsidR="00B35256" w:rsidRPr="004968EB">
        <w:rPr>
          <w:rFonts w:ascii="Times New Roman" w:hAnsi="Times New Roman"/>
          <w:sz w:val="24"/>
          <w:szCs w:val="24"/>
          <w:lang w:val="sq-AL"/>
        </w:rPr>
        <w:t>ë</w:t>
      </w:r>
      <w:r w:rsidR="00D0777F" w:rsidRPr="004968EB">
        <w:rPr>
          <w:rFonts w:ascii="Times New Roman" w:hAnsi="Times New Roman"/>
          <w:sz w:val="24"/>
          <w:szCs w:val="24"/>
          <w:lang w:val="sq-AL"/>
        </w:rPr>
        <w:t xml:space="preserve"> p</w:t>
      </w:r>
      <w:r w:rsidR="00B35256" w:rsidRPr="004968EB">
        <w:rPr>
          <w:rFonts w:ascii="Times New Roman" w:hAnsi="Times New Roman"/>
          <w:sz w:val="24"/>
          <w:szCs w:val="24"/>
          <w:lang w:val="sq-AL"/>
        </w:rPr>
        <w:t>ë</w:t>
      </w:r>
      <w:r w:rsidR="00D0777F" w:rsidRPr="004968EB">
        <w:rPr>
          <w:rFonts w:ascii="Times New Roman" w:hAnsi="Times New Roman"/>
          <w:sz w:val="24"/>
          <w:szCs w:val="24"/>
          <w:lang w:val="sq-AL"/>
        </w:rPr>
        <w:t>rgjithsh</w:t>
      </w:r>
      <w:r w:rsidR="00B35256" w:rsidRPr="004968EB">
        <w:rPr>
          <w:rFonts w:ascii="Times New Roman" w:hAnsi="Times New Roman"/>
          <w:sz w:val="24"/>
          <w:szCs w:val="24"/>
          <w:lang w:val="sq-AL"/>
        </w:rPr>
        <w:t>ë</w:t>
      </w:r>
      <w:r w:rsidR="00D0777F" w:rsidRPr="004968EB">
        <w:rPr>
          <w:rFonts w:ascii="Times New Roman" w:hAnsi="Times New Roman"/>
          <w:sz w:val="24"/>
          <w:szCs w:val="24"/>
          <w:lang w:val="sq-AL"/>
        </w:rPr>
        <w:t xml:space="preserve">m, </w:t>
      </w:r>
      <w:r w:rsidR="00316A9D" w:rsidRPr="004968EB">
        <w:rPr>
          <w:rFonts w:ascii="Times New Roman" w:hAnsi="Times New Roman"/>
          <w:sz w:val="24"/>
          <w:szCs w:val="24"/>
          <w:lang w:val="sq-AL"/>
        </w:rPr>
        <w:t xml:space="preserve">janë regjistruar 170 procedime me 123 të pandehur dhe 140 procedime me 151 të pandehur janë dërguar për gjykim. Prokurorët kanë rritur rolin aktiv për veprat penale të korrupsionit dhe ato që lidhen me detyrën duke filluar kryesisht 18 procedime penale, ndaj 16 të filluara në vitin 2022 dhe në kryerjen e hetime proaktive dhe/ose me përdorim të mjeteve të posaçme të hetimit, në 31 procedime </w:t>
      </w:r>
      <w:r w:rsidR="009A73CB">
        <w:rPr>
          <w:rFonts w:ascii="Times New Roman" w:hAnsi="Times New Roman"/>
          <w:sz w:val="24"/>
          <w:szCs w:val="24"/>
          <w:lang w:val="sq-AL"/>
        </w:rPr>
        <w:t xml:space="preserve">penale. Ky proces i ka shërbyer </w:t>
      </w:r>
      <w:r w:rsidR="00316A9D" w:rsidRPr="004968EB">
        <w:rPr>
          <w:rFonts w:ascii="Times New Roman" w:hAnsi="Times New Roman"/>
          <w:sz w:val="24"/>
          <w:szCs w:val="24"/>
          <w:lang w:val="sq-AL"/>
        </w:rPr>
        <w:t xml:space="preserve"> si parandalimit dhe/ose ndërprerjes së mëtejshme të veprimtarisë kriminale, ashtu dhe goditjes/finalizimit me arrestimin në flagrancë apo ndalimin e 7 personave të dyshuar për kryerjen e veprave penale në kompetencë të prokurorive pranë gjykatave të shkallës së parë me juridiksion të përgjithshëm.</w:t>
      </w:r>
    </w:p>
    <w:p w14:paraId="6BB3D37F" w14:textId="456F6363" w:rsidR="00316A9D" w:rsidRPr="004968EB" w:rsidRDefault="00316A9D" w:rsidP="004968EB">
      <w:pPr>
        <w:spacing w:after="0"/>
        <w:ind w:firstLine="360"/>
        <w:jc w:val="both"/>
        <w:rPr>
          <w:rFonts w:ascii="Times New Roman" w:hAnsi="Times New Roman"/>
          <w:noProof/>
          <w:sz w:val="24"/>
          <w:szCs w:val="24"/>
          <w:lang w:val="sq-AL"/>
        </w:rPr>
      </w:pPr>
      <w:r w:rsidRPr="004968EB">
        <w:rPr>
          <w:rFonts w:ascii="Times New Roman" w:hAnsi="Times New Roman"/>
          <w:noProof/>
          <w:sz w:val="24"/>
          <w:szCs w:val="24"/>
          <w:lang w:val="sq-AL"/>
        </w:rPr>
        <w:t>Hetime</w:t>
      </w:r>
      <w:r w:rsidR="009A73CB">
        <w:rPr>
          <w:rFonts w:ascii="Times New Roman" w:hAnsi="Times New Roman"/>
          <w:noProof/>
          <w:sz w:val="24"/>
          <w:szCs w:val="24"/>
          <w:lang w:val="sq-AL"/>
        </w:rPr>
        <w:t>t</w:t>
      </w:r>
      <w:r w:rsidRPr="004968EB">
        <w:rPr>
          <w:rFonts w:ascii="Times New Roman" w:hAnsi="Times New Roman"/>
          <w:noProof/>
          <w:sz w:val="24"/>
          <w:szCs w:val="24"/>
          <w:lang w:val="sq-AL"/>
        </w:rPr>
        <w:t xml:space="preserve"> proaktive kanë bërë të mundur që të sigurohen të dhëna jo vetëm për veprën penale për të cilën është regjistruar procedimi, por edhe pë</w:t>
      </w:r>
      <w:r w:rsidR="009A73CB">
        <w:rPr>
          <w:rFonts w:ascii="Times New Roman" w:hAnsi="Times New Roman"/>
          <w:noProof/>
          <w:sz w:val="24"/>
          <w:szCs w:val="24"/>
          <w:lang w:val="sq-AL"/>
        </w:rPr>
        <w:t>r zbulimin në 6 (gjashtë) raste</w:t>
      </w:r>
      <w:r w:rsidRPr="004968EB">
        <w:rPr>
          <w:rFonts w:ascii="Times New Roman" w:hAnsi="Times New Roman"/>
          <w:noProof/>
          <w:sz w:val="24"/>
          <w:szCs w:val="24"/>
          <w:lang w:val="sq-AL"/>
        </w:rPr>
        <w:t xml:space="preserve"> të kryerjes së veprës penale të korrupsionit dhe korrupsionit aktiv në zgjedhje, të parashikuara nga nenet 319, 319/c, 319/ç, dhe 328 të Kodit Penal në kompetencë të Prokurorisë së Posaçme, që ka mundësuar kryerjen e hetimeve të mëtejshme nga ajo prokurori.</w:t>
      </w:r>
    </w:p>
    <w:p w14:paraId="060EA9FA" w14:textId="464F9F53" w:rsidR="006E2BB0" w:rsidRPr="004968EB" w:rsidRDefault="00A7017E" w:rsidP="004968EB">
      <w:pPr>
        <w:spacing w:after="0"/>
        <w:ind w:firstLine="360"/>
        <w:jc w:val="both"/>
        <w:rPr>
          <w:rFonts w:ascii="Times New Roman" w:hAnsi="Times New Roman"/>
          <w:noProof/>
          <w:sz w:val="24"/>
          <w:szCs w:val="24"/>
          <w:lang w:val="sq-AL"/>
        </w:rPr>
      </w:pPr>
      <w:r w:rsidRPr="004968EB">
        <w:rPr>
          <w:rFonts w:ascii="Times New Roman" w:hAnsi="Times New Roman"/>
          <w:sz w:val="24"/>
          <w:szCs w:val="24"/>
          <w:lang w:val="sq-AL"/>
        </w:rPr>
        <w:t>N</w:t>
      </w:r>
      <w:r w:rsidR="00316A9D" w:rsidRPr="004968EB">
        <w:rPr>
          <w:rFonts w:ascii="Times New Roman" w:hAnsi="Times New Roman"/>
          <w:sz w:val="24"/>
          <w:szCs w:val="24"/>
          <w:lang w:val="sq-AL"/>
        </w:rPr>
        <w:t>ga 44</w:t>
      </w:r>
      <w:r w:rsidR="006E2BB0" w:rsidRPr="004968EB">
        <w:rPr>
          <w:rFonts w:ascii="Times New Roman" w:hAnsi="Times New Roman"/>
          <w:sz w:val="24"/>
          <w:szCs w:val="24"/>
          <w:lang w:val="sq-AL"/>
        </w:rPr>
        <w:t xml:space="preserve"> referime/procedime penale të transferuara nga prokuroritë e juridiksionit të përgjithshëm dhe të pranuara nga Prokurori</w:t>
      </w:r>
      <w:r w:rsidR="00316A9D" w:rsidRPr="004968EB">
        <w:rPr>
          <w:rFonts w:ascii="Times New Roman" w:hAnsi="Times New Roman"/>
          <w:sz w:val="24"/>
          <w:szCs w:val="24"/>
          <w:lang w:val="sq-AL"/>
        </w:rPr>
        <w:t>a e Posaçme, janë regjistruar 32</w:t>
      </w:r>
      <w:r w:rsidR="006E2BB0" w:rsidRPr="004968EB">
        <w:rPr>
          <w:rFonts w:ascii="Times New Roman" w:hAnsi="Times New Roman"/>
          <w:sz w:val="24"/>
          <w:szCs w:val="24"/>
          <w:lang w:val="sq-AL"/>
        </w:rPr>
        <w:t xml:space="preserve"> procedime penale për vepra që lidhen me korrupsionin në nivele të larta ose ve</w:t>
      </w:r>
      <w:r w:rsidR="00316A9D" w:rsidRPr="004968EB">
        <w:rPr>
          <w:rFonts w:ascii="Times New Roman" w:hAnsi="Times New Roman"/>
          <w:sz w:val="24"/>
          <w:szCs w:val="24"/>
          <w:lang w:val="sq-AL"/>
        </w:rPr>
        <w:t>pra penale që lidhen me detyrën.</w:t>
      </w:r>
    </w:p>
    <w:p w14:paraId="1241CB93" w14:textId="4DBF21FC" w:rsidR="003C5AD6" w:rsidRPr="004968EB" w:rsidRDefault="00186CB6" w:rsidP="004968EB">
      <w:pPr>
        <w:spacing w:after="0"/>
        <w:ind w:firstLine="360"/>
        <w:jc w:val="both"/>
        <w:rPr>
          <w:rFonts w:ascii="Times New Roman" w:hAnsi="Times New Roman"/>
          <w:color w:val="000000" w:themeColor="text1"/>
          <w:sz w:val="24"/>
          <w:szCs w:val="24"/>
          <w:lang w:val="sq-AL"/>
        </w:rPr>
      </w:pPr>
      <w:r w:rsidRPr="00186CB6">
        <w:rPr>
          <w:rFonts w:ascii="Times New Roman" w:hAnsi="Times New Roman"/>
          <w:b/>
          <w:sz w:val="24"/>
          <w:szCs w:val="24"/>
          <w:lang w:val="sq-AL"/>
        </w:rPr>
        <w:t>iv</w:t>
      </w:r>
      <w:r w:rsidR="0013672D" w:rsidRPr="00186CB6">
        <w:rPr>
          <w:rFonts w:ascii="Times New Roman" w:hAnsi="Times New Roman"/>
          <w:b/>
          <w:sz w:val="24"/>
          <w:szCs w:val="24"/>
          <w:lang w:val="sq-AL"/>
        </w:rPr>
        <w:t>)</w:t>
      </w:r>
      <w:r w:rsidR="0013672D" w:rsidRPr="004968EB">
        <w:rPr>
          <w:rFonts w:ascii="Times New Roman" w:hAnsi="Times New Roman"/>
          <w:sz w:val="24"/>
          <w:szCs w:val="24"/>
          <w:lang w:val="sq-AL"/>
        </w:rPr>
        <w:t xml:space="preserve"> </w:t>
      </w:r>
      <w:r w:rsidR="003C5AD6" w:rsidRPr="004968EB">
        <w:rPr>
          <w:rFonts w:ascii="Times New Roman" w:hAnsi="Times New Roman"/>
          <w:sz w:val="24"/>
          <w:szCs w:val="24"/>
          <w:lang w:val="sq-AL"/>
        </w:rPr>
        <w:t>Sa i p</w:t>
      </w:r>
      <w:r w:rsidR="004968EB" w:rsidRPr="004968EB">
        <w:rPr>
          <w:rFonts w:ascii="Times New Roman" w:hAnsi="Times New Roman"/>
          <w:sz w:val="24"/>
          <w:szCs w:val="24"/>
          <w:lang w:val="sq-AL"/>
        </w:rPr>
        <w:t>ë</w:t>
      </w:r>
      <w:r w:rsidR="003C5AD6" w:rsidRPr="004968EB">
        <w:rPr>
          <w:rFonts w:ascii="Times New Roman" w:hAnsi="Times New Roman"/>
          <w:sz w:val="24"/>
          <w:szCs w:val="24"/>
          <w:lang w:val="sq-AL"/>
        </w:rPr>
        <w:t>rket veprave penale n</w:t>
      </w:r>
      <w:r w:rsidR="004968EB" w:rsidRPr="004968EB">
        <w:rPr>
          <w:rFonts w:ascii="Times New Roman" w:hAnsi="Times New Roman"/>
          <w:sz w:val="24"/>
          <w:szCs w:val="24"/>
          <w:lang w:val="sq-AL"/>
        </w:rPr>
        <w:t>ë</w:t>
      </w:r>
      <w:r w:rsidR="003C5AD6" w:rsidRPr="004968EB">
        <w:rPr>
          <w:rFonts w:ascii="Times New Roman" w:hAnsi="Times New Roman"/>
          <w:sz w:val="24"/>
          <w:szCs w:val="24"/>
          <w:lang w:val="sq-AL"/>
        </w:rPr>
        <w:t xml:space="preserve"> </w:t>
      </w:r>
      <w:r w:rsidR="00AE27FB" w:rsidRPr="004968EB">
        <w:rPr>
          <w:rFonts w:ascii="Times New Roman" w:hAnsi="Times New Roman"/>
          <w:sz w:val="24"/>
          <w:szCs w:val="24"/>
          <w:lang w:val="sq-AL"/>
        </w:rPr>
        <w:t>fush</w:t>
      </w:r>
      <w:r w:rsidR="004968EB" w:rsidRPr="004968EB">
        <w:rPr>
          <w:rFonts w:ascii="Times New Roman" w:hAnsi="Times New Roman"/>
          <w:sz w:val="24"/>
          <w:szCs w:val="24"/>
          <w:lang w:val="sq-AL"/>
        </w:rPr>
        <w:t>ë</w:t>
      </w:r>
      <w:r w:rsidR="00AE27FB" w:rsidRPr="004968EB">
        <w:rPr>
          <w:rFonts w:ascii="Times New Roman" w:hAnsi="Times New Roman"/>
          <w:sz w:val="24"/>
          <w:szCs w:val="24"/>
          <w:lang w:val="sq-AL"/>
        </w:rPr>
        <w:t>n e prodhimit, shitjes dhe kultivimit t</w:t>
      </w:r>
      <w:r w:rsidR="004968EB" w:rsidRPr="004968EB">
        <w:rPr>
          <w:rFonts w:ascii="Times New Roman" w:hAnsi="Times New Roman"/>
          <w:sz w:val="24"/>
          <w:szCs w:val="24"/>
          <w:lang w:val="sq-AL"/>
        </w:rPr>
        <w:t>ë</w:t>
      </w:r>
      <w:r w:rsidR="003C5AD6" w:rsidRPr="004968EB">
        <w:rPr>
          <w:rFonts w:ascii="Times New Roman" w:hAnsi="Times New Roman"/>
          <w:sz w:val="24"/>
          <w:szCs w:val="24"/>
          <w:lang w:val="sq-AL"/>
        </w:rPr>
        <w:t xml:space="preserve"> narkotik</w:t>
      </w:r>
      <w:r w:rsidR="004968EB" w:rsidRPr="004968EB">
        <w:rPr>
          <w:rFonts w:ascii="Times New Roman" w:hAnsi="Times New Roman"/>
          <w:sz w:val="24"/>
          <w:szCs w:val="24"/>
          <w:lang w:val="sq-AL"/>
        </w:rPr>
        <w:t>ë</w:t>
      </w:r>
      <w:r w:rsidR="003C5AD6" w:rsidRPr="004968EB">
        <w:rPr>
          <w:rFonts w:ascii="Times New Roman" w:hAnsi="Times New Roman"/>
          <w:sz w:val="24"/>
          <w:szCs w:val="24"/>
          <w:lang w:val="sq-AL"/>
        </w:rPr>
        <w:t xml:space="preserve">ve, rezulton se </w:t>
      </w:r>
      <w:r w:rsidR="003C5AD6" w:rsidRPr="004968EB">
        <w:rPr>
          <w:rFonts w:ascii="Times New Roman" w:hAnsi="Times New Roman"/>
          <w:color w:val="000000" w:themeColor="text1"/>
          <w:sz w:val="24"/>
          <w:szCs w:val="24"/>
          <w:lang w:val="sq-AL"/>
        </w:rPr>
        <w:t xml:space="preserve">pesha specifike që ky grup veprash penale zë për vitin 2023 përkundrejt numrit total të procedimeve penale të regjistruara në shkallë vendi, është 7,28 %, ndërsa për vitin 2022 ka qenë 6 %. </w:t>
      </w:r>
    </w:p>
    <w:p w14:paraId="7B9B8D7F" w14:textId="617BF226" w:rsidR="00E64005" w:rsidRPr="004968EB" w:rsidRDefault="003C5AD6" w:rsidP="004968EB">
      <w:pPr>
        <w:spacing w:after="0"/>
        <w:ind w:firstLine="360"/>
        <w:jc w:val="both"/>
        <w:rPr>
          <w:rFonts w:ascii="Times New Roman" w:hAnsi="Times New Roman"/>
          <w:color w:val="000000" w:themeColor="text1"/>
          <w:sz w:val="24"/>
          <w:szCs w:val="24"/>
          <w:lang w:val="sq-AL"/>
        </w:rPr>
      </w:pPr>
      <w:r w:rsidRPr="004968EB">
        <w:rPr>
          <w:rFonts w:ascii="Times New Roman" w:hAnsi="Times New Roman"/>
          <w:color w:val="000000" w:themeColor="text1"/>
          <w:sz w:val="24"/>
          <w:szCs w:val="24"/>
          <w:lang w:val="sq-AL"/>
        </w:rPr>
        <w:t xml:space="preserve">Nga të dhënat statistikore rezulton se në vitin 2023 ka një rritje prej 13,81 % të numrit të procedimeve të regjistruara për këtë grup veprash penale në krahasim me vitin 2022. Numri më i lartë i procedimeve të regjistruara për veprat penale të prodhimit dhe kultivimit të narkotikëve është në prokuroritë pranë gjykatës së shkallës së parë: Tiranë regjistruar 27 % të numrit total të procedimeve të regjistruara, Lezhë regjistuar 15 % e numrit total të procedimeve të regjistruara për këto vepra në shkallë vendi, Shkodër 14 %, Fier 10 %, e procedimeve të regjistruara etj, ndërsa vërehet se numri më i vogël i procedimeve penale të regjistruara për këtë grupvepër është në prokuroritë pranë gjykatave të shkallës së parë: Sarandë, Gjirokastër,  ku janë regjistruar 2 % e numrit të procedimeve penale në shkallë vendi për këtë grupvepër. </w:t>
      </w:r>
      <w:r w:rsidR="00AE27FB" w:rsidRPr="004968EB">
        <w:rPr>
          <w:rFonts w:ascii="Times New Roman" w:hAnsi="Times New Roman"/>
          <w:color w:val="000000" w:themeColor="text1"/>
          <w:sz w:val="24"/>
          <w:szCs w:val="24"/>
          <w:lang w:val="sq-AL"/>
        </w:rPr>
        <w:t xml:space="preserve">Për këtë grup veprash, 77,59 % e kërkesave të prokurorit për masa sigurimi lidhen me caktimin e masave të sigurimit me arrest dhe nga gjykata në 70,37 % të kërkesave është vendosur masë sigurimi me arrest. </w:t>
      </w:r>
    </w:p>
    <w:p w14:paraId="6DA68617" w14:textId="4ECDDCC5" w:rsidR="001E4957" w:rsidRPr="004968EB" w:rsidRDefault="0013672D" w:rsidP="004968EB">
      <w:pPr>
        <w:spacing w:after="0"/>
        <w:ind w:firstLine="360"/>
        <w:jc w:val="both"/>
        <w:rPr>
          <w:rFonts w:ascii="Times New Roman" w:hAnsi="Times New Roman"/>
          <w:bCs/>
          <w:sz w:val="24"/>
          <w:szCs w:val="24"/>
        </w:rPr>
      </w:pPr>
      <w:r w:rsidRPr="00186CB6">
        <w:rPr>
          <w:rFonts w:ascii="Times New Roman" w:hAnsi="Times New Roman"/>
          <w:b/>
          <w:sz w:val="24"/>
          <w:szCs w:val="24"/>
          <w:lang w:val="sq-AL"/>
        </w:rPr>
        <w:t>v)</w:t>
      </w:r>
      <w:r w:rsidRPr="004968EB">
        <w:rPr>
          <w:rFonts w:ascii="Times New Roman" w:hAnsi="Times New Roman"/>
          <w:color w:val="000000" w:themeColor="text1"/>
          <w:sz w:val="24"/>
          <w:szCs w:val="24"/>
          <w:lang w:val="sq-AL"/>
        </w:rPr>
        <w:t xml:space="preserve"> </w:t>
      </w:r>
      <w:r w:rsidR="001E4957" w:rsidRPr="004968EB">
        <w:rPr>
          <w:rFonts w:ascii="Times New Roman" w:hAnsi="Times New Roman"/>
          <w:color w:val="000000" w:themeColor="text1"/>
          <w:sz w:val="24"/>
          <w:szCs w:val="24"/>
          <w:lang w:val="sq-AL"/>
        </w:rPr>
        <w:t>Referuar të dhënave statistikore, për veprën penale “Dhuna në familje” neni 130/a i Kodit Penal, për vitin 2023 janë regjistruar 1396 procedime penale, me 1078 të pandehur ose me ulje 3,92  % të procedimeve dhe ulje 11,35 %  të pandehurve të regjistruar krahasuar me vitin 2022. Janë dërguar për gjykim 996 procedime me 1048 të pandehur.</w:t>
      </w:r>
    </w:p>
    <w:p w14:paraId="28730ECD" w14:textId="77777777" w:rsidR="001E4957" w:rsidRPr="004968EB" w:rsidRDefault="001E4957" w:rsidP="004968EB">
      <w:pPr>
        <w:pStyle w:val="Default"/>
        <w:spacing w:line="276" w:lineRule="auto"/>
        <w:ind w:firstLine="360"/>
        <w:jc w:val="both"/>
        <w:rPr>
          <w:rFonts w:ascii="Times New Roman" w:hAnsi="Times New Roman" w:cs="Times New Roman"/>
          <w:color w:val="000000" w:themeColor="text1"/>
          <w:lang w:val="sq-AL"/>
        </w:rPr>
      </w:pPr>
      <w:r w:rsidRPr="004968EB">
        <w:rPr>
          <w:rFonts w:ascii="Times New Roman" w:hAnsi="Times New Roman" w:cs="Times New Roman"/>
          <w:color w:val="000000" w:themeColor="text1"/>
          <w:lang w:val="sq-AL"/>
        </w:rPr>
        <w:t xml:space="preserve">Efektiviteti i ndjekjes penale është i lartë në kryerjen e hetimeve dhe ndjekjen për veprën penale të dhunës në familje në vitin 2023, ku evidentohet se çështjet e dërguara në gjyq janë në përqindje shumë më të lartë se ato të pushuara, përkatësisht 71,35 % dërguar gjyqit dhe 21,35 % të pushuara. </w:t>
      </w:r>
    </w:p>
    <w:p w14:paraId="11517BF9" w14:textId="1F7EA334" w:rsidR="001E4957" w:rsidRPr="004968EB" w:rsidRDefault="001E4957" w:rsidP="004968EB">
      <w:pPr>
        <w:pStyle w:val="Default"/>
        <w:spacing w:line="276" w:lineRule="auto"/>
        <w:ind w:firstLine="360"/>
        <w:jc w:val="both"/>
        <w:rPr>
          <w:rFonts w:ascii="Times New Roman" w:hAnsi="Times New Roman" w:cs="Times New Roman"/>
          <w:color w:val="000000" w:themeColor="text1"/>
          <w:lang w:val="sq-AL"/>
        </w:rPr>
      </w:pPr>
      <w:r w:rsidRPr="004968EB">
        <w:rPr>
          <w:rFonts w:ascii="Times New Roman" w:hAnsi="Times New Roman" w:cs="Times New Roman"/>
          <w:color w:val="000000" w:themeColor="text1"/>
          <w:lang w:val="sq-AL"/>
        </w:rPr>
        <w:t>Lidhur me ashpërsimin e politikës penale për veprën penale “Dhuna në familje” sipas nenit 130/a i Kodit Penal, të dhënat statistikore evidentojnë se kërkesat e prokurorit lidhur me masat e sigurimit për persona që kanë kryer këtë vepër janë të ashpra, ku 89,04 % janë kërkesa për masa sigurimi me arrest me rritje në krahasim me vitin 2022 ku kërkesat për arrest ishin më masën 86,13 %. Kërkesat për caktimin e dënimit, për të pandehurit e akuzuar për këtë vepër penale rezultojnë se 61,82 % e kërkesave janë për caktimin e dënimit me burg dhe 38,18 % e kërkesave janë për caktimin e alternativave të dënimit me burg, shifra përafërsisht të njëjta me vitin 2022.</w:t>
      </w:r>
    </w:p>
    <w:p w14:paraId="02FB7E26" w14:textId="77777777" w:rsidR="009A73CB" w:rsidRDefault="00AE27FB" w:rsidP="009A73CB">
      <w:pPr>
        <w:pStyle w:val="Default"/>
        <w:spacing w:line="276" w:lineRule="auto"/>
        <w:ind w:firstLine="360"/>
        <w:jc w:val="both"/>
        <w:rPr>
          <w:rFonts w:ascii="Times New Roman" w:hAnsi="Times New Roman" w:cs="Times New Roman"/>
          <w:color w:val="000000" w:themeColor="text1"/>
        </w:rPr>
      </w:pPr>
      <w:r w:rsidRPr="00186CB6">
        <w:rPr>
          <w:rFonts w:ascii="Times New Roman" w:hAnsi="Times New Roman" w:cs="Times New Roman"/>
          <w:b/>
          <w:color w:val="000000" w:themeColor="text1"/>
        </w:rPr>
        <w:t>v</w:t>
      </w:r>
      <w:r w:rsidR="00186CB6" w:rsidRPr="00186CB6">
        <w:rPr>
          <w:rFonts w:ascii="Times New Roman" w:hAnsi="Times New Roman" w:cs="Times New Roman"/>
          <w:b/>
          <w:color w:val="000000" w:themeColor="text1"/>
        </w:rPr>
        <w:t>i</w:t>
      </w:r>
      <w:r w:rsidRPr="00186CB6">
        <w:rPr>
          <w:rFonts w:ascii="Times New Roman" w:hAnsi="Times New Roman" w:cs="Times New Roman"/>
          <w:b/>
          <w:color w:val="000000" w:themeColor="text1"/>
        </w:rPr>
        <w:t>)</w:t>
      </w:r>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seancën</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plenare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FATF, </w:t>
      </w:r>
      <w:proofErr w:type="spellStart"/>
      <w:r w:rsidRPr="004968EB">
        <w:rPr>
          <w:rFonts w:ascii="Times New Roman" w:hAnsi="Times New Roman" w:cs="Times New Roman"/>
          <w:color w:val="000000" w:themeColor="text1"/>
        </w:rPr>
        <w:t>zhvilluar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datë</w:t>
      </w:r>
      <w:proofErr w:type="spellEnd"/>
      <w:r w:rsidRPr="004968EB">
        <w:rPr>
          <w:rFonts w:ascii="Times New Roman" w:hAnsi="Times New Roman" w:cs="Times New Roman"/>
          <w:color w:val="000000" w:themeColor="text1"/>
        </w:rPr>
        <w:t xml:space="preserve"> 27 </w:t>
      </w:r>
      <w:proofErr w:type="spellStart"/>
      <w:r w:rsidRPr="004968EB">
        <w:rPr>
          <w:rFonts w:ascii="Times New Roman" w:hAnsi="Times New Roman" w:cs="Times New Roman"/>
          <w:color w:val="000000" w:themeColor="text1"/>
        </w:rPr>
        <w:t>tetor</w:t>
      </w:r>
      <w:proofErr w:type="spellEnd"/>
      <w:r w:rsidRPr="004968EB">
        <w:rPr>
          <w:rFonts w:ascii="Times New Roman" w:hAnsi="Times New Roman" w:cs="Times New Roman"/>
          <w:color w:val="000000" w:themeColor="text1"/>
        </w:rPr>
        <w:t xml:space="preserve"> 2023 </w:t>
      </w:r>
      <w:proofErr w:type="spellStart"/>
      <w:r w:rsidRPr="004968EB">
        <w:rPr>
          <w:rFonts w:ascii="Times New Roman" w:hAnsi="Times New Roman" w:cs="Times New Roman"/>
          <w:color w:val="000000" w:themeColor="text1"/>
        </w:rPr>
        <w:t>në</w:t>
      </w:r>
      <w:proofErr w:type="spellEnd"/>
      <w:r w:rsidRPr="004968EB">
        <w:rPr>
          <w:rFonts w:ascii="Times New Roman" w:hAnsi="Times New Roman" w:cs="Times New Roman"/>
          <w:color w:val="000000" w:themeColor="text1"/>
        </w:rPr>
        <w:t xml:space="preserve"> Paris, </w:t>
      </w:r>
      <w:proofErr w:type="spellStart"/>
      <w:r w:rsidRPr="004968EB">
        <w:rPr>
          <w:rFonts w:ascii="Times New Roman" w:hAnsi="Times New Roman" w:cs="Times New Roman"/>
          <w:color w:val="000000" w:themeColor="text1"/>
        </w:rPr>
        <w:t>është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vendosur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dalja</w:t>
      </w:r>
      <w:proofErr w:type="spellEnd"/>
      <w:r w:rsidRPr="004968EB">
        <w:rPr>
          <w:rFonts w:ascii="Times New Roman" w:hAnsi="Times New Roman" w:cs="Times New Roman"/>
          <w:color w:val="000000" w:themeColor="text1"/>
        </w:rPr>
        <w:t xml:space="preserve"> e </w:t>
      </w:r>
      <w:proofErr w:type="spellStart"/>
      <w:r w:rsidRPr="004968EB">
        <w:rPr>
          <w:rFonts w:ascii="Times New Roman" w:hAnsi="Times New Roman" w:cs="Times New Roman"/>
          <w:color w:val="000000" w:themeColor="text1"/>
        </w:rPr>
        <w:t>Shqipërisë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nga</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lista</w:t>
      </w:r>
      <w:proofErr w:type="spellEnd"/>
      <w:r w:rsidRPr="004968EB">
        <w:rPr>
          <w:rFonts w:ascii="Times New Roman" w:hAnsi="Times New Roman" w:cs="Times New Roman"/>
          <w:color w:val="000000" w:themeColor="text1"/>
        </w:rPr>
        <w:t xml:space="preserve"> e </w:t>
      </w:r>
      <w:proofErr w:type="spellStart"/>
      <w:r w:rsidRPr="004968EB">
        <w:rPr>
          <w:rFonts w:ascii="Times New Roman" w:hAnsi="Times New Roman" w:cs="Times New Roman"/>
          <w:color w:val="000000" w:themeColor="text1"/>
        </w:rPr>
        <w:t>juridiksioneve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nën</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monitorim</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shtuar</w:t>
      </w:r>
      <w:proofErr w:type="spellEnd"/>
      <w:r w:rsidRPr="004968EB">
        <w:rPr>
          <w:rFonts w:ascii="Times New Roman" w:hAnsi="Times New Roman" w:cs="Times New Roman"/>
          <w:color w:val="000000" w:themeColor="text1"/>
        </w:rPr>
        <w:t xml:space="preserve">, e </w:t>
      </w:r>
      <w:proofErr w:type="spellStart"/>
      <w:r w:rsidRPr="004968EB">
        <w:rPr>
          <w:rFonts w:ascii="Times New Roman" w:hAnsi="Times New Roman" w:cs="Times New Roman"/>
          <w:color w:val="000000" w:themeColor="text1"/>
        </w:rPr>
        <w:t>njohur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si</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lista</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gri</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Ky</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rezultat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ka</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ardhur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ndër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tjera</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nëpërmjet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reformave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dhe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politikave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zbatuara</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luftën</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kundër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pastrimit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parave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dhe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financimit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terrorizmit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dhe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veçanërisht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si</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rezultat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i</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gadishmërisë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për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bashkëpunim</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transparencës</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së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treguar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dhe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rezultateve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tepër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pozitive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prokurorive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juridiksionit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përgjithshëm</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hetimin</w:t>
      </w:r>
      <w:proofErr w:type="spellEnd"/>
      <w:r w:rsidRPr="004968EB">
        <w:rPr>
          <w:rFonts w:ascii="Times New Roman" w:hAnsi="Times New Roman" w:cs="Times New Roman"/>
          <w:color w:val="000000" w:themeColor="text1"/>
        </w:rPr>
        <w:t xml:space="preserve"> e </w:t>
      </w:r>
      <w:proofErr w:type="spellStart"/>
      <w:r w:rsidRPr="004968EB">
        <w:rPr>
          <w:rFonts w:ascii="Times New Roman" w:hAnsi="Times New Roman" w:cs="Times New Roman"/>
          <w:color w:val="000000" w:themeColor="text1"/>
        </w:rPr>
        <w:t>pastrimit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parave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Për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këtë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Shqipëria</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nuk</w:t>
      </w:r>
      <w:proofErr w:type="spellEnd"/>
      <w:r w:rsidRPr="004968EB">
        <w:rPr>
          <w:rFonts w:ascii="Times New Roman" w:hAnsi="Times New Roman" w:cs="Times New Roman"/>
          <w:color w:val="000000" w:themeColor="text1"/>
        </w:rPr>
        <w:t xml:space="preserve"> do </w:t>
      </w:r>
      <w:proofErr w:type="spellStart"/>
      <w:r w:rsidRPr="004968EB">
        <w:rPr>
          <w:rFonts w:ascii="Times New Roman" w:hAnsi="Times New Roman" w:cs="Times New Roman"/>
          <w:color w:val="000000" w:themeColor="text1"/>
        </w:rPr>
        <w:t>t’i</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nënshtrohet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më</w:t>
      </w:r>
      <w:proofErr w:type="spellEnd"/>
      <w:r w:rsidR="009A73CB">
        <w:rPr>
          <w:rFonts w:ascii="Times New Roman" w:hAnsi="Times New Roman" w:cs="Times New Roman"/>
          <w:color w:val="000000" w:themeColor="text1"/>
        </w:rPr>
        <w:t xml:space="preserve"> </w:t>
      </w:r>
      <w:proofErr w:type="spellStart"/>
      <w:r w:rsidR="009A73CB">
        <w:rPr>
          <w:rFonts w:ascii="Times New Roman" w:hAnsi="Times New Roman" w:cs="Times New Roman"/>
          <w:color w:val="000000" w:themeColor="text1"/>
        </w:rPr>
        <w:t>monitorimit</w:t>
      </w:r>
      <w:proofErr w:type="spellEnd"/>
      <w:r w:rsidR="009A73CB">
        <w:rPr>
          <w:rFonts w:ascii="Times New Roman" w:hAnsi="Times New Roman" w:cs="Times New Roman"/>
          <w:color w:val="000000" w:themeColor="text1"/>
        </w:rPr>
        <w:t xml:space="preserve"> </w:t>
      </w:r>
      <w:proofErr w:type="spellStart"/>
      <w:r w:rsidR="009A73CB">
        <w:rPr>
          <w:rFonts w:ascii="Times New Roman" w:hAnsi="Times New Roman" w:cs="Times New Roman"/>
          <w:color w:val="000000" w:themeColor="text1"/>
        </w:rPr>
        <w:t>të</w:t>
      </w:r>
      <w:proofErr w:type="spellEnd"/>
      <w:r w:rsidR="009A73CB">
        <w:rPr>
          <w:rFonts w:ascii="Times New Roman" w:hAnsi="Times New Roman" w:cs="Times New Roman"/>
          <w:color w:val="000000" w:themeColor="text1"/>
        </w:rPr>
        <w:t xml:space="preserve"> </w:t>
      </w:r>
      <w:proofErr w:type="spellStart"/>
      <w:r w:rsidR="009A73CB">
        <w:rPr>
          <w:rFonts w:ascii="Times New Roman" w:hAnsi="Times New Roman" w:cs="Times New Roman"/>
          <w:color w:val="000000" w:themeColor="text1"/>
        </w:rPr>
        <w:t>shtuar</w:t>
      </w:r>
      <w:proofErr w:type="spellEnd"/>
      <w:r w:rsidR="009A73CB">
        <w:rPr>
          <w:rFonts w:ascii="Times New Roman" w:hAnsi="Times New Roman" w:cs="Times New Roman"/>
          <w:color w:val="000000" w:themeColor="text1"/>
        </w:rPr>
        <w:t xml:space="preserve"> </w:t>
      </w:r>
      <w:proofErr w:type="spellStart"/>
      <w:r w:rsidR="009A73CB">
        <w:rPr>
          <w:rFonts w:ascii="Times New Roman" w:hAnsi="Times New Roman" w:cs="Times New Roman"/>
          <w:color w:val="000000" w:themeColor="text1"/>
        </w:rPr>
        <w:t>të</w:t>
      </w:r>
      <w:proofErr w:type="spellEnd"/>
      <w:r w:rsidR="009A73CB">
        <w:rPr>
          <w:rFonts w:ascii="Times New Roman" w:hAnsi="Times New Roman" w:cs="Times New Roman"/>
          <w:color w:val="000000" w:themeColor="text1"/>
        </w:rPr>
        <w:t xml:space="preserve"> FATF. </w:t>
      </w:r>
    </w:p>
    <w:p w14:paraId="27060CBF" w14:textId="756EB275" w:rsidR="00AE27FB" w:rsidRPr="004968EB" w:rsidRDefault="00AE27FB" w:rsidP="009A73CB">
      <w:pPr>
        <w:pStyle w:val="Default"/>
        <w:spacing w:line="276" w:lineRule="auto"/>
        <w:ind w:firstLine="360"/>
        <w:jc w:val="both"/>
        <w:rPr>
          <w:rFonts w:ascii="Times New Roman" w:hAnsi="Times New Roman" w:cs="Times New Roman"/>
          <w:color w:val="000000" w:themeColor="text1"/>
        </w:rPr>
      </w:pPr>
      <w:proofErr w:type="spellStart"/>
      <w:r w:rsidRPr="004968EB">
        <w:rPr>
          <w:rFonts w:ascii="Times New Roman" w:hAnsi="Times New Roman" w:cs="Times New Roman"/>
          <w:color w:val="000000" w:themeColor="text1"/>
        </w:rPr>
        <w:t>Rezultati</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i</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këtyre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masave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është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progresi</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i</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evidentuar</w:t>
      </w:r>
      <w:proofErr w:type="spellEnd"/>
      <w:r w:rsidRPr="004968EB">
        <w:rPr>
          <w:rFonts w:ascii="Times New Roman" w:hAnsi="Times New Roman" w:cs="Times New Roman"/>
          <w:color w:val="000000" w:themeColor="text1"/>
        </w:rPr>
        <w:t xml:space="preserve"> me </w:t>
      </w:r>
      <w:proofErr w:type="spellStart"/>
      <w:r w:rsidRPr="004968EB">
        <w:rPr>
          <w:rFonts w:ascii="Times New Roman" w:hAnsi="Times New Roman" w:cs="Times New Roman"/>
          <w:color w:val="000000" w:themeColor="text1"/>
        </w:rPr>
        <w:t>rritjen</w:t>
      </w:r>
      <w:proofErr w:type="spellEnd"/>
      <w:r w:rsidRPr="004968EB">
        <w:rPr>
          <w:rFonts w:ascii="Times New Roman" w:hAnsi="Times New Roman" w:cs="Times New Roman"/>
          <w:color w:val="000000" w:themeColor="text1"/>
        </w:rPr>
        <w:t xml:space="preserve"> e </w:t>
      </w:r>
      <w:proofErr w:type="spellStart"/>
      <w:r w:rsidRPr="004968EB">
        <w:rPr>
          <w:rFonts w:ascii="Times New Roman" w:hAnsi="Times New Roman" w:cs="Times New Roman"/>
          <w:color w:val="000000" w:themeColor="text1"/>
        </w:rPr>
        <w:t>efektivitetit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hetimet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për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veprat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penale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pastrimit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parave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parashikuara</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nga</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ne</w:t>
      </w:r>
      <w:r w:rsidR="009A73CB">
        <w:rPr>
          <w:rFonts w:ascii="Times New Roman" w:hAnsi="Times New Roman" w:cs="Times New Roman"/>
          <w:color w:val="000000" w:themeColor="text1"/>
        </w:rPr>
        <w:t>net</w:t>
      </w:r>
      <w:proofErr w:type="spellEnd"/>
      <w:r w:rsidR="009A73CB">
        <w:rPr>
          <w:rFonts w:ascii="Times New Roman" w:hAnsi="Times New Roman" w:cs="Times New Roman"/>
          <w:color w:val="000000" w:themeColor="text1"/>
        </w:rPr>
        <w:t xml:space="preserve"> 287 e 287/b </w:t>
      </w:r>
      <w:proofErr w:type="spellStart"/>
      <w:r w:rsidR="009A73CB">
        <w:rPr>
          <w:rFonts w:ascii="Times New Roman" w:hAnsi="Times New Roman" w:cs="Times New Roman"/>
          <w:color w:val="000000" w:themeColor="text1"/>
        </w:rPr>
        <w:t>të</w:t>
      </w:r>
      <w:proofErr w:type="spellEnd"/>
      <w:r w:rsidR="009A73CB">
        <w:rPr>
          <w:rFonts w:ascii="Times New Roman" w:hAnsi="Times New Roman" w:cs="Times New Roman"/>
          <w:color w:val="000000" w:themeColor="text1"/>
        </w:rPr>
        <w:t xml:space="preserve"> </w:t>
      </w:r>
      <w:proofErr w:type="spellStart"/>
      <w:r w:rsidR="009A73CB">
        <w:rPr>
          <w:rFonts w:ascii="Times New Roman" w:hAnsi="Times New Roman" w:cs="Times New Roman"/>
          <w:color w:val="000000" w:themeColor="text1"/>
        </w:rPr>
        <w:t>Kodit</w:t>
      </w:r>
      <w:proofErr w:type="spellEnd"/>
      <w:r w:rsidR="009A73CB">
        <w:rPr>
          <w:rFonts w:ascii="Times New Roman" w:hAnsi="Times New Roman" w:cs="Times New Roman"/>
          <w:color w:val="000000" w:themeColor="text1"/>
        </w:rPr>
        <w:t xml:space="preserve"> Penal.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dhënat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statistikore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vitit</w:t>
      </w:r>
      <w:proofErr w:type="spellEnd"/>
      <w:r w:rsidRPr="004968EB">
        <w:rPr>
          <w:rFonts w:ascii="Times New Roman" w:hAnsi="Times New Roman" w:cs="Times New Roman"/>
          <w:color w:val="000000" w:themeColor="text1"/>
        </w:rPr>
        <w:t xml:space="preserve"> 2023 </w:t>
      </w:r>
      <w:proofErr w:type="spellStart"/>
      <w:r w:rsidRPr="004968EB">
        <w:rPr>
          <w:rFonts w:ascii="Times New Roman" w:hAnsi="Times New Roman" w:cs="Times New Roman"/>
          <w:color w:val="000000" w:themeColor="text1"/>
        </w:rPr>
        <w:t>tregojnë</w:t>
      </w:r>
      <w:proofErr w:type="spellEnd"/>
      <w:r w:rsidRPr="004968EB">
        <w:rPr>
          <w:rFonts w:ascii="Times New Roman" w:hAnsi="Times New Roman" w:cs="Times New Roman"/>
          <w:color w:val="000000" w:themeColor="text1"/>
        </w:rPr>
        <w:t xml:space="preserve"> se </w:t>
      </w:r>
      <w:proofErr w:type="spellStart"/>
      <w:r w:rsidRPr="004968EB">
        <w:rPr>
          <w:rFonts w:ascii="Times New Roman" w:hAnsi="Times New Roman" w:cs="Times New Roman"/>
          <w:color w:val="000000" w:themeColor="text1"/>
        </w:rPr>
        <w:t>për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veprat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penale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parashikuara</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nga</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nenet</w:t>
      </w:r>
      <w:proofErr w:type="spellEnd"/>
      <w:r w:rsidRPr="004968EB">
        <w:rPr>
          <w:rFonts w:ascii="Times New Roman" w:hAnsi="Times New Roman" w:cs="Times New Roman"/>
          <w:color w:val="000000" w:themeColor="text1"/>
        </w:rPr>
        <w:t xml:space="preserve"> 287 </w:t>
      </w:r>
      <w:proofErr w:type="spellStart"/>
      <w:r w:rsidRPr="004968EB">
        <w:rPr>
          <w:rFonts w:ascii="Times New Roman" w:hAnsi="Times New Roman" w:cs="Times New Roman"/>
          <w:color w:val="000000" w:themeColor="text1"/>
        </w:rPr>
        <w:t>dhe</w:t>
      </w:r>
      <w:proofErr w:type="spellEnd"/>
      <w:r w:rsidRPr="004968EB">
        <w:rPr>
          <w:rFonts w:ascii="Times New Roman" w:hAnsi="Times New Roman" w:cs="Times New Roman"/>
          <w:color w:val="000000" w:themeColor="text1"/>
        </w:rPr>
        <w:t xml:space="preserve">   287/b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Kodit</w:t>
      </w:r>
      <w:proofErr w:type="spellEnd"/>
      <w:r w:rsidRPr="004968EB">
        <w:rPr>
          <w:rFonts w:ascii="Times New Roman" w:hAnsi="Times New Roman" w:cs="Times New Roman"/>
          <w:color w:val="000000" w:themeColor="text1"/>
        </w:rPr>
        <w:t xml:space="preserve"> Penal, </w:t>
      </w:r>
      <w:proofErr w:type="spellStart"/>
      <w:r w:rsidRPr="004968EB">
        <w:rPr>
          <w:rFonts w:ascii="Times New Roman" w:hAnsi="Times New Roman" w:cs="Times New Roman"/>
          <w:color w:val="000000" w:themeColor="text1"/>
        </w:rPr>
        <w:t>janë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regjistruar</w:t>
      </w:r>
      <w:proofErr w:type="spellEnd"/>
      <w:r w:rsidRPr="004968EB">
        <w:rPr>
          <w:rFonts w:ascii="Times New Roman" w:hAnsi="Times New Roman" w:cs="Times New Roman"/>
          <w:color w:val="000000" w:themeColor="text1"/>
        </w:rPr>
        <w:t xml:space="preserve"> 158 </w:t>
      </w:r>
      <w:proofErr w:type="spellStart"/>
      <w:r w:rsidRPr="004968EB">
        <w:rPr>
          <w:rFonts w:ascii="Times New Roman" w:hAnsi="Times New Roman" w:cs="Times New Roman"/>
          <w:color w:val="000000" w:themeColor="text1"/>
        </w:rPr>
        <w:t>procedime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penale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reja</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dhe</w:t>
      </w:r>
      <w:proofErr w:type="spellEnd"/>
      <w:r w:rsidRPr="004968EB">
        <w:rPr>
          <w:rFonts w:ascii="Times New Roman" w:hAnsi="Times New Roman" w:cs="Times New Roman"/>
          <w:color w:val="000000" w:themeColor="text1"/>
        </w:rPr>
        <w:t xml:space="preserve"> 15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pandehur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ndërkohë</w:t>
      </w:r>
      <w:proofErr w:type="spellEnd"/>
      <w:r w:rsidRPr="004968EB">
        <w:rPr>
          <w:rFonts w:ascii="Times New Roman" w:hAnsi="Times New Roman" w:cs="Times New Roman"/>
          <w:color w:val="000000" w:themeColor="text1"/>
        </w:rPr>
        <w:t xml:space="preserve"> 14 </w:t>
      </w:r>
      <w:proofErr w:type="spellStart"/>
      <w:r w:rsidRPr="004968EB">
        <w:rPr>
          <w:rFonts w:ascii="Times New Roman" w:hAnsi="Times New Roman" w:cs="Times New Roman"/>
          <w:color w:val="000000" w:themeColor="text1"/>
        </w:rPr>
        <w:t>procedime</w:t>
      </w:r>
      <w:proofErr w:type="spellEnd"/>
      <w:r w:rsidRPr="004968EB">
        <w:rPr>
          <w:rFonts w:ascii="Times New Roman" w:hAnsi="Times New Roman" w:cs="Times New Roman"/>
          <w:color w:val="000000" w:themeColor="text1"/>
        </w:rPr>
        <w:t xml:space="preserve"> me 27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pandehur</w:t>
      </w:r>
      <w:proofErr w:type="spellEnd"/>
      <w:r w:rsidRPr="004968EB">
        <w:rPr>
          <w:rFonts w:ascii="Times New Roman" w:hAnsi="Times New Roman" w:cs="Times New Roman"/>
          <w:color w:val="000000" w:themeColor="text1"/>
        </w:rPr>
        <w:t xml:space="preserve"> u </w:t>
      </w:r>
      <w:proofErr w:type="spellStart"/>
      <w:r w:rsidRPr="004968EB">
        <w:rPr>
          <w:rFonts w:ascii="Times New Roman" w:hAnsi="Times New Roman" w:cs="Times New Roman"/>
          <w:color w:val="000000" w:themeColor="text1"/>
        </w:rPr>
        <w:t>dërguan</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për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gjykim</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dhe</w:t>
      </w:r>
      <w:proofErr w:type="spellEnd"/>
      <w:r w:rsidRPr="004968EB">
        <w:rPr>
          <w:rFonts w:ascii="Times New Roman" w:hAnsi="Times New Roman" w:cs="Times New Roman"/>
          <w:color w:val="000000" w:themeColor="text1"/>
        </w:rPr>
        <w:t xml:space="preserve"> 22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pandehur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rezultojnë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dënuar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këtë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periudhë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vetëm</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për</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veprën</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penale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pastrimit</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parave</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sipas</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nenit</w:t>
      </w:r>
      <w:proofErr w:type="spellEnd"/>
      <w:r w:rsidRPr="004968EB">
        <w:rPr>
          <w:rFonts w:ascii="Times New Roman" w:hAnsi="Times New Roman" w:cs="Times New Roman"/>
          <w:color w:val="000000" w:themeColor="text1"/>
        </w:rPr>
        <w:t xml:space="preserve"> 287 </w:t>
      </w:r>
      <w:proofErr w:type="spellStart"/>
      <w:r w:rsidRPr="004968EB">
        <w:rPr>
          <w:rFonts w:ascii="Times New Roman" w:hAnsi="Times New Roman" w:cs="Times New Roman"/>
          <w:color w:val="000000" w:themeColor="text1"/>
        </w:rPr>
        <w:t>të</w:t>
      </w:r>
      <w:proofErr w:type="spellEnd"/>
      <w:r w:rsidRPr="004968EB">
        <w:rPr>
          <w:rFonts w:ascii="Times New Roman" w:hAnsi="Times New Roman" w:cs="Times New Roman"/>
          <w:color w:val="000000" w:themeColor="text1"/>
        </w:rPr>
        <w:t xml:space="preserve"> </w:t>
      </w:r>
      <w:proofErr w:type="spellStart"/>
      <w:r w:rsidRPr="004968EB">
        <w:rPr>
          <w:rFonts w:ascii="Times New Roman" w:hAnsi="Times New Roman" w:cs="Times New Roman"/>
          <w:color w:val="000000" w:themeColor="text1"/>
        </w:rPr>
        <w:t>Kodit</w:t>
      </w:r>
      <w:proofErr w:type="spellEnd"/>
      <w:r w:rsidRPr="004968EB">
        <w:rPr>
          <w:rFonts w:ascii="Times New Roman" w:hAnsi="Times New Roman" w:cs="Times New Roman"/>
          <w:color w:val="000000" w:themeColor="text1"/>
        </w:rPr>
        <w:t xml:space="preserve"> Penal </w:t>
      </w:r>
      <w:r w:rsidRPr="004968EB">
        <w:rPr>
          <w:rFonts w:ascii="Times New Roman" w:hAnsi="Times New Roman" w:cs="Times New Roman"/>
          <w:color w:val="000000" w:themeColor="text1"/>
          <w:lang w:val="sq-AL"/>
        </w:rPr>
        <w:t>janë regjistruar 156 procedime të reja me 11 të pandehur, dhe 11 procedime me 16 të pandehur janë dërguar për gjykim.</w:t>
      </w:r>
    </w:p>
    <w:p w14:paraId="79CEA242" w14:textId="300F474B" w:rsidR="00AE27FB" w:rsidRPr="00BE7232" w:rsidRDefault="004B3D4F" w:rsidP="004968EB">
      <w:pPr>
        <w:pStyle w:val="Default"/>
        <w:spacing w:line="276" w:lineRule="auto"/>
        <w:jc w:val="both"/>
        <w:rPr>
          <w:rFonts w:ascii="Times New Roman" w:hAnsi="Times New Roman" w:cs="Times New Roman"/>
          <w:i/>
          <w:color w:val="000000" w:themeColor="text1"/>
          <w:lang w:val="da-DK"/>
        </w:rPr>
      </w:pPr>
      <w:r w:rsidRPr="00BE7232">
        <w:rPr>
          <w:rFonts w:ascii="Times New Roman" w:hAnsi="Times New Roman" w:cs="Times New Roman"/>
          <w:b/>
          <w:color w:val="000000" w:themeColor="text1"/>
          <w:lang w:val="sq-AL"/>
        </w:rPr>
        <w:t xml:space="preserve">      vi</w:t>
      </w:r>
      <w:r w:rsidR="00BE7232" w:rsidRPr="00BE7232">
        <w:rPr>
          <w:rFonts w:ascii="Times New Roman" w:hAnsi="Times New Roman" w:cs="Times New Roman"/>
          <w:b/>
          <w:color w:val="000000" w:themeColor="text1"/>
          <w:lang w:val="sq-AL"/>
        </w:rPr>
        <w:t>i</w:t>
      </w:r>
      <w:r w:rsidRPr="00BE7232">
        <w:rPr>
          <w:rFonts w:ascii="Times New Roman" w:hAnsi="Times New Roman" w:cs="Times New Roman"/>
          <w:b/>
          <w:color w:val="000000" w:themeColor="text1"/>
          <w:lang w:val="sq-AL"/>
        </w:rPr>
        <w:t>)</w:t>
      </w:r>
      <w:r w:rsidRPr="004968EB">
        <w:rPr>
          <w:rFonts w:ascii="Times New Roman" w:hAnsi="Times New Roman" w:cs="Times New Roman"/>
          <w:color w:val="000000" w:themeColor="text1"/>
          <w:lang w:val="sq-AL"/>
        </w:rPr>
        <w:t xml:space="preserve"> </w:t>
      </w:r>
      <w:r w:rsidR="00BE7232">
        <w:rPr>
          <w:rFonts w:ascii="Times New Roman" w:hAnsi="Times New Roman" w:cs="Times New Roman"/>
          <w:color w:val="000000" w:themeColor="text1"/>
          <w:lang w:val="sq-AL"/>
        </w:rPr>
        <w:t xml:space="preserve">Sa i përket </w:t>
      </w:r>
      <w:r w:rsidR="00BE7232">
        <w:rPr>
          <w:rFonts w:ascii="Times New Roman" w:hAnsi="Times New Roman" w:cs="Times New Roman"/>
          <w:color w:val="000000" w:themeColor="text1"/>
          <w:lang w:val="da-DK"/>
        </w:rPr>
        <w:t>hetimeve</w:t>
      </w:r>
      <w:r w:rsidR="00BE7232" w:rsidRPr="004968EB">
        <w:rPr>
          <w:rFonts w:ascii="Times New Roman" w:hAnsi="Times New Roman" w:cs="Times New Roman"/>
          <w:color w:val="000000" w:themeColor="text1"/>
          <w:lang w:val="da-DK"/>
        </w:rPr>
        <w:t xml:space="preserve"> financiare dhe pasurore për sekuestrimin/konfiskimin e pasurisë</w:t>
      </w:r>
      <w:r w:rsidR="00BE7232">
        <w:rPr>
          <w:rFonts w:ascii="Times New Roman" w:hAnsi="Times New Roman" w:cs="Times New Roman"/>
          <w:i/>
          <w:color w:val="000000" w:themeColor="text1"/>
          <w:lang w:val="da-DK"/>
        </w:rPr>
        <w:t xml:space="preserve">, </w:t>
      </w:r>
      <w:r w:rsidR="00BE7232">
        <w:rPr>
          <w:rFonts w:ascii="Times New Roman" w:hAnsi="Times New Roman" w:cs="Times New Roman"/>
          <w:color w:val="000000" w:themeColor="text1"/>
          <w:lang w:val="sq-AL"/>
        </w:rPr>
        <w:t xml:space="preserve">në vitin 2023, </w:t>
      </w:r>
      <w:r w:rsidR="00AE27FB" w:rsidRPr="004968EB">
        <w:rPr>
          <w:rFonts w:ascii="Times New Roman" w:hAnsi="Times New Roman" w:cs="Times New Roman"/>
          <w:color w:val="000000" w:themeColor="text1"/>
          <w:lang w:val="sq-AL"/>
        </w:rPr>
        <w:t xml:space="preserve">kuadrin e hetimit dhe ushtrimit të ndjekjes penale për veprën penale “Pastrimi i produkteve të veprës penale ose veprimtarisë kriminale” sipas nenit 287 të K.Penal dhe për vepra të tjera penale të lidhura me to, në zbatim te nenit 36 të Kodit Penal dhe neneve 274 dhe/ose 210, 190 e vijues të Kodit të Procedurës Penale, mbi kërkesat e prokurorëve gjykatat kanë vendosur: -konfiskime pasurie/aseteve kriminale në kuadrin e 6 çështjeve, numër i njëjtë me vitin 2022 , dhe -sekuestrime pasurie/aseteve kriminale në kuadrin e 24 çështjeve, nga 18 për vitin 2022. </w:t>
      </w:r>
    </w:p>
    <w:p w14:paraId="13BF2B38" w14:textId="25D86605" w:rsidR="00AE27FB" w:rsidRPr="004968EB" w:rsidRDefault="00AE27FB" w:rsidP="009A73CB">
      <w:pPr>
        <w:pStyle w:val="Default"/>
        <w:spacing w:line="276" w:lineRule="auto"/>
        <w:ind w:firstLine="360"/>
        <w:jc w:val="both"/>
        <w:rPr>
          <w:rFonts w:ascii="Times New Roman" w:hAnsi="Times New Roman" w:cs="Times New Roman"/>
          <w:color w:val="000000" w:themeColor="text1"/>
          <w:lang w:val="sq-AL"/>
        </w:rPr>
      </w:pPr>
      <w:r w:rsidRPr="004968EB">
        <w:rPr>
          <w:rFonts w:ascii="Times New Roman" w:hAnsi="Times New Roman" w:cs="Times New Roman"/>
          <w:color w:val="000000" w:themeColor="text1"/>
          <w:lang w:val="sq-AL"/>
        </w:rPr>
        <w:t>Në zbatim të nenit 3/1 e vijues të ligjit nr. 10192, datë 03.12.2009 “Për parandalimin dhe goditjen e krimit të organizuar, trafikimit, korrupsionit dhe krimeve të tjera, nëpërmjet masave parandaluese kundër pasurisë”, në kuadrin e procedimeve/hetimeve pasurore, mbi kërkesat e prokurorëve gjykatat kanë vendosur: -8 konfiskime pasurie/asete kriminale dhe -10 sekuestrime pasurie/asete kriminale nga 7 në vitin 2022.</w:t>
      </w:r>
    </w:p>
    <w:p w14:paraId="24ACA2F6" w14:textId="1BB31846" w:rsidR="00731A76" w:rsidRPr="004968EB" w:rsidRDefault="00731A76" w:rsidP="004968EB">
      <w:pPr>
        <w:spacing w:after="0"/>
        <w:jc w:val="both"/>
        <w:rPr>
          <w:rFonts w:ascii="Times New Roman" w:hAnsi="Times New Roman"/>
          <w:color w:val="000000" w:themeColor="text1"/>
          <w:sz w:val="24"/>
          <w:szCs w:val="24"/>
          <w:lang w:val="sq-AL"/>
        </w:rPr>
      </w:pPr>
    </w:p>
    <w:p w14:paraId="0DF482AC" w14:textId="15658524" w:rsidR="00DD20A9" w:rsidRDefault="00BE7232" w:rsidP="00BE7232">
      <w:pPr>
        <w:spacing w:after="0"/>
        <w:ind w:firstLine="360"/>
        <w:jc w:val="both"/>
        <w:rPr>
          <w:rFonts w:ascii="Times New Roman" w:hAnsi="Times New Roman"/>
          <w:b/>
          <w:sz w:val="24"/>
          <w:szCs w:val="24"/>
          <w:lang w:val="sq-AL"/>
        </w:rPr>
      </w:pPr>
      <w:r>
        <w:rPr>
          <w:rFonts w:ascii="Times New Roman" w:hAnsi="Times New Roman"/>
          <w:b/>
          <w:sz w:val="24"/>
          <w:szCs w:val="24"/>
          <w:lang w:val="sq-AL"/>
        </w:rPr>
        <w:t>III</w:t>
      </w:r>
      <w:r w:rsidR="00E61C9C" w:rsidRPr="00BE7232">
        <w:rPr>
          <w:rFonts w:ascii="Times New Roman" w:hAnsi="Times New Roman"/>
          <w:b/>
          <w:sz w:val="24"/>
          <w:szCs w:val="24"/>
          <w:lang w:val="sq-AL"/>
        </w:rPr>
        <w:t>.</w:t>
      </w:r>
      <w:r w:rsidR="00E67EC7" w:rsidRPr="00BE7232">
        <w:rPr>
          <w:rFonts w:ascii="Times New Roman" w:hAnsi="Times New Roman"/>
          <w:b/>
          <w:i/>
          <w:sz w:val="24"/>
          <w:szCs w:val="24"/>
          <w:lang w:val="sq-AL"/>
        </w:rPr>
        <w:t xml:space="preserve"> </w:t>
      </w:r>
      <w:r w:rsidR="00FA61B5">
        <w:rPr>
          <w:rFonts w:ascii="Times New Roman" w:hAnsi="Times New Roman"/>
          <w:b/>
          <w:sz w:val="24"/>
          <w:szCs w:val="24"/>
          <w:lang w:val="sq-AL"/>
        </w:rPr>
        <w:t>B</w:t>
      </w:r>
      <w:r w:rsidR="00393192" w:rsidRPr="00BE7232">
        <w:rPr>
          <w:rFonts w:ascii="Times New Roman" w:hAnsi="Times New Roman"/>
          <w:b/>
          <w:sz w:val="24"/>
          <w:szCs w:val="24"/>
          <w:lang w:val="sq-AL"/>
        </w:rPr>
        <w:t>ashk</w:t>
      </w:r>
      <w:r w:rsidR="00336B6F" w:rsidRPr="00BE7232">
        <w:rPr>
          <w:rFonts w:ascii="Times New Roman" w:hAnsi="Times New Roman"/>
          <w:b/>
          <w:sz w:val="24"/>
          <w:szCs w:val="24"/>
          <w:lang w:val="sq-AL"/>
        </w:rPr>
        <w:t>ë</w:t>
      </w:r>
      <w:r w:rsidR="00FA61B5">
        <w:rPr>
          <w:rFonts w:ascii="Times New Roman" w:hAnsi="Times New Roman"/>
          <w:b/>
          <w:sz w:val="24"/>
          <w:szCs w:val="24"/>
          <w:lang w:val="sq-AL"/>
        </w:rPr>
        <w:t>punimi</w:t>
      </w:r>
      <w:r w:rsidR="004B3D4F" w:rsidRPr="00BE7232">
        <w:rPr>
          <w:rFonts w:ascii="Times New Roman" w:hAnsi="Times New Roman"/>
          <w:b/>
          <w:sz w:val="24"/>
          <w:szCs w:val="24"/>
          <w:lang w:val="sq-AL"/>
        </w:rPr>
        <w:t xml:space="preserve"> </w:t>
      </w:r>
      <w:r w:rsidR="00D7406B" w:rsidRPr="00BE7232">
        <w:rPr>
          <w:rFonts w:ascii="Times New Roman" w:hAnsi="Times New Roman"/>
          <w:b/>
          <w:sz w:val="24"/>
          <w:szCs w:val="24"/>
          <w:lang w:val="sq-AL"/>
        </w:rPr>
        <w:t xml:space="preserve"> ndërkombëtar</w:t>
      </w:r>
      <w:r w:rsidR="00393192" w:rsidRPr="00BE7232">
        <w:rPr>
          <w:rFonts w:ascii="Times New Roman" w:hAnsi="Times New Roman"/>
          <w:b/>
          <w:sz w:val="24"/>
          <w:szCs w:val="24"/>
          <w:lang w:val="sq-AL"/>
        </w:rPr>
        <w:t xml:space="preserve"> </w:t>
      </w:r>
    </w:p>
    <w:p w14:paraId="1C1753AF" w14:textId="77777777" w:rsidR="00BE7232" w:rsidRPr="00BE7232" w:rsidRDefault="00BE7232" w:rsidP="004968EB">
      <w:pPr>
        <w:spacing w:after="0"/>
        <w:ind w:firstLine="360"/>
        <w:jc w:val="both"/>
        <w:rPr>
          <w:rFonts w:ascii="Times New Roman" w:hAnsi="Times New Roman"/>
          <w:b/>
          <w:sz w:val="24"/>
          <w:szCs w:val="24"/>
        </w:rPr>
      </w:pPr>
    </w:p>
    <w:p w14:paraId="52204E6D" w14:textId="59EF6F3E" w:rsidR="0039460E" w:rsidRPr="004968EB" w:rsidRDefault="005A4A72" w:rsidP="00BE7232">
      <w:pPr>
        <w:spacing w:after="0"/>
        <w:ind w:firstLine="360"/>
        <w:jc w:val="both"/>
        <w:rPr>
          <w:rFonts w:ascii="Times New Roman" w:hAnsi="Times New Roman"/>
          <w:bCs/>
          <w:sz w:val="24"/>
          <w:szCs w:val="24"/>
          <w:lang w:val="sq-AL"/>
        </w:rPr>
      </w:pPr>
      <w:r w:rsidRPr="004968EB">
        <w:rPr>
          <w:rFonts w:ascii="Times New Roman" w:hAnsi="Times New Roman"/>
          <w:noProof/>
          <w:sz w:val="24"/>
          <w:szCs w:val="24"/>
          <w:lang w:val="sq-AL"/>
        </w:rPr>
        <w:t xml:space="preserve">Prokuroria e Përgjithshme </w:t>
      </w:r>
      <w:r w:rsidRPr="004968EB">
        <w:rPr>
          <w:rFonts w:ascii="Times New Roman" w:hAnsi="Times New Roman"/>
          <w:bCs/>
          <w:sz w:val="24"/>
          <w:szCs w:val="24"/>
          <w:lang w:val="sq-AL"/>
        </w:rPr>
        <w:t>ka vijuar ndërveprimin për rritjen e efiçencës në bashkëpunimin me autoritetet gjyqësore të huaja në fushën penale</w:t>
      </w:r>
      <w:r w:rsidR="0043761A" w:rsidRPr="004968EB">
        <w:rPr>
          <w:rFonts w:ascii="Times New Roman" w:hAnsi="Times New Roman"/>
          <w:bCs/>
          <w:sz w:val="24"/>
          <w:szCs w:val="24"/>
          <w:lang w:val="sq-AL"/>
        </w:rPr>
        <w:t xml:space="preserve">. </w:t>
      </w:r>
      <w:r w:rsidR="0039460E" w:rsidRPr="004968EB">
        <w:rPr>
          <w:rFonts w:ascii="Times New Roman" w:hAnsi="Times New Roman"/>
          <w:bCs/>
          <w:sz w:val="24"/>
          <w:szCs w:val="24"/>
          <w:lang w:val="sq-AL"/>
        </w:rPr>
        <w:t>Gjat</w:t>
      </w:r>
      <w:r w:rsidR="004968EB" w:rsidRPr="004968EB">
        <w:rPr>
          <w:rFonts w:ascii="Times New Roman" w:hAnsi="Times New Roman"/>
          <w:bCs/>
          <w:sz w:val="24"/>
          <w:szCs w:val="24"/>
          <w:lang w:val="sq-AL"/>
        </w:rPr>
        <w:t>ë</w:t>
      </w:r>
      <w:r w:rsidR="0039460E" w:rsidRPr="004968EB">
        <w:rPr>
          <w:rFonts w:ascii="Times New Roman" w:hAnsi="Times New Roman"/>
          <w:bCs/>
          <w:sz w:val="24"/>
          <w:szCs w:val="24"/>
          <w:lang w:val="sq-AL"/>
        </w:rPr>
        <w:t xml:space="preserve"> vitit 2023, prokurorit</w:t>
      </w:r>
      <w:r w:rsidR="004968EB" w:rsidRPr="004968EB">
        <w:rPr>
          <w:rFonts w:ascii="Times New Roman" w:hAnsi="Times New Roman"/>
          <w:bCs/>
          <w:sz w:val="24"/>
          <w:szCs w:val="24"/>
          <w:lang w:val="sq-AL"/>
        </w:rPr>
        <w:t>ë</w:t>
      </w:r>
      <w:r w:rsidR="0039460E" w:rsidRPr="004968EB">
        <w:rPr>
          <w:rFonts w:ascii="Times New Roman" w:hAnsi="Times New Roman"/>
          <w:bCs/>
          <w:sz w:val="24"/>
          <w:szCs w:val="24"/>
          <w:lang w:val="sq-AL"/>
        </w:rPr>
        <w:t xml:space="preserve"> e juridiksionit t</w:t>
      </w:r>
      <w:r w:rsidR="004968EB" w:rsidRPr="004968EB">
        <w:rPr>
          <w:rFonts w:ascii="Times New Roman" w:hAnsi="Times New Roman"/>
          <w:bCs/>
          <w:sz w:val="24"/>
          <w:szCs w:val="24"/>
          <w:lang w:val="sq-AL"/>
        </w:rPr>
        <w:t>ë</w:t>
      </w:r>
      <w:r w:rsidR="0039460E" w:rsidRPr="004968EB">
        <w:rPr>
          <w:rFonts w:ascii="Times New Roman" w:hAnsi="Times New Roman"/>
          <w:bCs/>
          <w:sz w:val="24"/>
          <w:szCs w:val="24"/>
          <w:lang w:val="sq-AL"/>
        </w:rPr>
        <w:t xml:space="preserve"> p</w:t>
      </w:r>
      <w:r w:rsidR="004968EB" w:rsidRPr="004968EB">
        <w:rPr>
          <w:rFonts w:ascii="Times New Roman" w:hAnsi="Times New Roman"/>
          <w:bCs/>
          <w:sz w:val="24"/>
          <w:szCs w:val="24"/>
          <w:lang w:val="sq-AL"/>
        </w:rPr>
        <w:t>ë</w:t>
      </w:r>
      <w:r w:rsidR="0039460E" w:rsidRPr="004968EB">
        <w:rPr>
          <w:rFonts w:ascii="Times New Roman" w:hAnsi="Times New Roman"/>
          <w:bCs/>
          <w:sz w:val="24"/>
          <w:szCs w:val="24"/>
          <w:lang w:val="sq-AL"/>
        </w:rPr>
        <w:t>rgjithsh</w:t>
      </w:r>
      <w:r w:rsidR="004968EB" w:rsidRPr="004968EB">
        <w:rPr>
          <w:rFonts w:ascii="Times New Roman" w:hAnsi="Times New Roman"/>
          <w:bCs/>
          <w:sz w:val="24"/>
          <w:szCs w:val="24"/>
          <w:lang w:val="sq-AL"/>
        </w:rPr>
        <w:t>ë</w:t>
      </w:r>
      <w:r w:rsidR="0039460E" w:rsidRPr="004968EB">
        <w:rPr>
          <w:rFonts w:ascii="Times New Roman" w:hAnsi="Times New Roman"/>
          <w:bCs/>
          <w:sz w:val="24"/>
          <w:szCs w:val="24"/>
          <w:lang w:val="sq-AL"/>
        </w:rPr>
        <w:t>m dhe Drejtoria e Marrëdhënieve Juridiksionale me Jashtë në Prokurorinë e Përgjithsh</w:t>
      </w:r>
      <w:r w:rsidR="00BE7232">
        <w:rPr>
          <w:rFonts w:ascii="Times New Roman" w:hAnsi="Times New Roman"/>
          <w:bCs/>
          <w:sz w:val="24"/>
          <w:szCs w:val="24"/>
          <w:lang w:val="sq-AL"/>
        </w:rPr>
        <w:t xml:space="preserve">me </w:t>
      </w:r>
      <w:r w:rsidR="0039460E" w:rsidRPr="004968EB">
        <w:rPr>
          <w:rFonts w:ascii="Times New Roman" w:hAnsi="Times New Roman"/>
          <w:bCs/>
          <w:sz w:val="24"/>
          <w:szCs w:val="24"/>
          <w:lang w:val="sq-AL"/>
        </w:rPr>
        <w:t>kan</w:t>
      </w:r>
      <w:r w:rsidR="004968EB" w:rsidRPr="004968EB">
        <w:rPr>
          <w:rFonts w:ascii="Times New Roman" w:hAnsi="Times New Roman"/>
          <w:bCs/>
          <w:sz w:val="24"/>
          <w:szCs w:val="24"/>
          <w:lang w:val="sq-AL"/>
        </w:rPr>
        <w:t>ë</w:t>
      </w:r>
      <w:r w:rsidR="0039460E" w:rsidRPr="004968EB">
        <w:rPr>
          <w:rFonts w:ascii="Times New Roman" w:hAnsi="Times New Roman"/>
          <w:bCs/>
          <w:sz w:val="24"/>
          <w:szCs w:val="24"/>
          <w:lang w:val="sq-AL"/>
        </w:rPr>
        <w:t xml:space="preserve"> forcuar m</w:t>
      </w:r>
      <w:r w:rsidR="004968EB" w:rsidRPr="004968EB">
        <w:rPr>
          <w:rFonts w:ascii="Times New Roman" w:hAnsi="Times New Roman"/>
          <w:bCs/>
          <w:sz w:val="24"/>
          <w:szCs w:val="24"/>
          <w:lang w:val="sq-AL"/>
        </w:rPr>
        <w:t>ë</w:t>
      </w:r>
      <w:r w:rsidR="0039460E" w:rsidRPr="004968EB">
        <w:rPr>
          <w:rFonts w:ascii="Times New Roman" w:hAnsi="Times New Roman"/>
          <w:bCs/>
          <w:sz w:val="24"/>
          <w:szCs w:val="24"/>
          <w:lang w:val="sq-AL"/>
        </w:rPr>
        <w:t xml:space="preserve"> tej intensitetin n</w:t>
      </w:r>
      <w:r w:rsidR="004968EB" w:rsidRPr="004968EB">
        <w:rPr>
          <w:rFonts w:ascii="Times New Roman" w:hAnsi="Times New Roman"/>
          <w:bCs/>
          <w:sz w:val="24"/>
          <w:szCs w:val="24"/>
          <w:lang w:val="sq-AL"/>
        </w:rPr>
        <w:t>ë</w:t>
      </w:r>
      <w:r w:rsidR="0039460E" w:rsidRPr="004968EB">
        <w:rPr>
          <w:rFonts w:ascii="Times New Roman" w:hAnsi="Times New Roman"/>
          <w:bCs/>
          <w:sz w:val="24"/>
          <w:szCs w:val="24"/>
          <w:lang w:val="sq-AL"/>
        </w:rPr>
        <w:t xml:space="preserve"> fush</w:t>
      </w:r>
      <w:r w:rsidR="004968EB" w:rsidRPr="004968EB">
        <w:rPr>
          <w:rFonts w:ascii="Times New Roman" w:hAnsi="Times New Roman"/>
          <w:bCs/>
          <w:sz w:val="24"/>
          <w:szCs w:val="24"/>
          <w:lang w:val="sq-AL"/>
        </w:rPr>
        <w:t>ë</w:t>
      </w:r>
      <w:r w:rsidR="00BE7232">
        <w:rPr>
          <w:rFonts w:ascii="Times New Roman" w:hAnsi="Times New Roman"/>
          <w:bCs/>
          <w:sz w:val="24"/>
          <w:szCs w:val="24"/>
          <w:lang w:val="sq-AL"/>
        </w:rPr>
        <w:t>n e marr</w:t>
      </w:r>
      <w:r w:rsidR="004968EB" w:rsidRPr="004968EB">
        <w:rPr>
          <w:rFonts w:ascii="Times New Roman" w:hAnsi="Times New Roman"/>
          <w:bCs/>
          <w:sz w:val="24"/>
          <w:szCs w:val="24"/>
          <w:lang w:val="sq-AL"/>
        </w:rPr>
        <w:t>ë</w:t>
      </w:r>
      <w:r w:rsidR="0039460E" w:rsidRPr="004968EB">
        <w:rPr>
          <w:rFonts w:ascii="Times New Roman" w:hAnsi="Times New Roman"/>
          <w:bCs/>
          <w:sz w:val="24"/>
          <w:szCs w:val="24"/>
          <w:lang w:val="sq-AL"/>
        </w:rPr>
        <w:t>dh</w:t>
      </w:r>
      <w:r w:rsidR="004968EB" w:rsidRPr="004968EB">
        <w:rPr>
          <w:rFonts w:ascii="Times New Roman" w:hAnsi="Times New Roman"/>
          <w:bCs/>
          <w:sz w:val="24"/>
          <w:szCs w:val="24"/>
          <w:lang w:val="sq-AL"/>
        </w:rPr>
        <w:t>ë</w:t>
      </w:r>
      <w:r w:rsidR="0039460E" w:rsidRPr="004968EB">
        <w:rPr>
          <w:rFonts w:ascii="Times New Roman" w:hAnsi="Times New Roman"/>
          <w:bCs/>
          <w:sz w:val="24"/>
          <w:szCs w:val="24"/>
          <w:lang w:val="sq-AL"/>
        </w:rPr>
        <w:t>nieve juridiksionale. Jan</w:t>
      </w:r>
      <w:r w:rsidR="004968EB" w:rsidRPr="004968EB">
        <w:rPr>
          <w:rFonts w:ascii="Times New Roman" w:hAnsi="Times New Roman"/>
          <w:bCs/>
          <w:sz w:val="24"/>
          <w:szCs w:val="24"/>
          <w:lang w:val="sq-AL"/>
        </w:rPr>
        <w:t>ë</w:t>
      </w:r>
      <w:r w:rsidR="0039460E" w:rsidRPr="004968EB">
        <w:rPr>
          <w:rFonts w:ascii="Times New Roman" w:hAnsi="Times New Roman"/>
          <w:bCs/>
          <w:sz w:val="24"/>
          <w:szCs w:val="24"/>
          <w:lang w:val="sq-AL"/>
        </w:rPr>
        <w:t xml:space="preserve"> trajtuar 171 praktika ekstradimi nga jashtë drejt Shqipërisë, ndër të cilat janë përfunduar 45 dhe 99 praktika ekstradimi nga Shqipëria për jashtë, ndër të cilat janë përfunduar 48.</w:t>
      </w:r>
    </w:p>
    <w:p w14:paraId="56C496BB" w14:textId="69BB5526" w:rsidR="00BE7232" w:rsidRDefault="0039460E" w:rsidP="00BE7232">
      <w:pPr>
        <w:jc w:val="both"/>
        <w:rPr>
          <w:rFonts w:ascii="Times New Roman" w:hAnsi="Times New Roman"/>
          <w:sz w:val="24"/>
          <w:szCs w:val="24"/>
          <w:lang w:val="sq-AL"/>
        </w:rPr>
      </w:pPr>
      <w:r w:rsidRPr="004968EB">
        <w:rPr>
          <w:rFonts w:ascii="Times New Roman" w:hAnsi="Times New Roman"/>
          <w:bCs/>
          <w:sz w:val="24"/>
          <w:szCs w:val="24"/>
          <w:lang w:val="sq-AL"/>
        </w:rPr>
        <w:t>Eficienc</w:t>
      </w:r>
      <w:r w:rsidR="004968EB" w:rsidRPr="004968EB">
        <w:rPr>
          <w:rFonts w:ascii="Times New Roman" w:hAnsi="Times New Roman"/>
          <w:bCs/>
          <w:sz w:val="24"/>
          <w:szCs w:val="24"/>
          <w:lang w:val="sq-AL"/>
        </w:rPr>
        <w:t>ë</w:t>
      </w:r>
      <w:r w:rsidRPr="004968EB">
        <w:rPr>
          <w:rFonts w:ascii="Times New Roman" w:hAnsi="Times New Roman"/>
          <w:bCs/>
          <w:sz w:val="24"/>
          <w:szCs w:val="24"/>
          <w:lang w:val="sq-AL"/>
        </w:rPr>
        <w:t xml:space="preserve"> e lart</w:t>
      </w:r>
      <w:r w:rsidR="004968EB" w:rsidRPr="004968EB">
        <w:rPr>
          <w:rFonts w:ascii="Times New Roman" w:hAnsi="Times New Roman"/>
          <w:bCs/>
          <w:sz w:val="24"/>
          <w:szCs w:val="24"/>
          <w:lang w:val="sq-AL"/>
        </w:rPr>
        <w:t>ë</w:t>
      </w:r>
      <w:r w:rsidRPr="004968EB">
        <w:rPr>
          <w:rFonts w:ascii="Times New Roman" w:hAnsi="Times New Roman"/>
          <w:bCs/>
          <w:sz w:val="24"/>
          <w:szCs w:val="24"/>
          <w:lang w:val="sq-AL"/>
        </w:rPr>
        <w:t xml:space="preserve"> </w:t>
      </w:r>
      <w:r w:rsidR="004968EB" w:rsidRPr="004968EB">
        <w:rPr>
          <w:rFonts w:ascii="Times New Roman" w:hAnsi="Times New Roman"/>
          <w:bCs/>
          <w:sz w:val="24"/>
          <w:szCs w:val="24"/>
          <w:lang w:val="sq-AL"/>
        </w:rPr>
        <w:t>ë</w:t>
      </w:r>
      <w:r w:rsidRPr="004968EB">
        <w:rPr>
          <w:rFonts w:ascii="Times New Roman" w:hAnsi="Times New Roman"/>
          <w:bCs/>
          <w:sz w:val="24"/>
          <w:szCs w:val="24"/>
          <w:lang w:val="sq-AL"/>
        </w:rPr>
        <w:t>sht</w:t>
      </w:r>
      <w:r w:rsidR="004968EB" w:rsidRPr="004968EB">
        <w:rPr>
          <w:rFonts w:ascii="Times New Roman" w:hAnsi="Times New Roman"/>
          <w:bCs/>
          <w:sz w:val="24"/>
          <w:szCs w:val="24"/>
          <w:lang w:val="sq-AL"/>
        </w:rPr>
        <w:t>ë</w:t>
      </w:r>
      <w:r w:rsidRPr="004968EB">
        <w:rPr>
          <w:rFonts w:ascii="Times New Roman" w:hAnsi="Times New Roman"/>
          <w:bCs/>
          <w:sz w:val="24"/>
          <w:szCs w:val="24"/>
          <w:lang w:val="sq-AL"/>
        </w:rPr>
        <w:t xml:space="preserve"> treguar n</w:t>
      </w:r>
      <w:r w:rsidR="004968EB" w:rsidRPr="004968EB">
        <w:rPr>
          <w:rFonts w:ascii="Times New Roman" w:hAnsi="Times New Roman"/>
          <w:bCs/>
          <w:sz w:val="24"/>
          <w:szCs w:val="24"/>
          <w:lang w:val="sq-AL"/>
        </w:rPr>
        <w:t>ë</w:t>
      </w:r>
      <w:r w:rsidRPr="004968EB">
        <w:rPr>
          <w:rFonts w:ascii="Times New Roman" w:hAnsi="Times New Roman"/>
          <w:bCs/>
          <w:sz w:val="24"/>
          <w:szCs w:val="24"/>
          <w:lang w:val="sq-AL"/>
        </w:rPr>
        <w:t xml:space="preserve"> ekzekutimin e let</w:t>
      </w:r>
      <w:r w:rsidR="004968EB" w:rsidRPr="004968EB">
        <w:rPr>
          <w:rFonts w:ascii="Times New Roman" w:hAnsi="Times New Roman"/>
          <w:bCs/>
          <w:sz w:val="24"/>
          <w:szCs w:val="24"/>
          <w:lang w:val="sq-AL"/>
        </w:rPr>
        <w:t>ë</w:t>
      </w:r>
      <w:r w:rsidRPr="004968EB">
        <w:rPr>
          <w:rFonts w:ascii="Times New Roman" w:hAnsi="Times New Roman"/>
          <w:bCs/>
          <w:sz w:val="24"/>
          <w:szCs w:val="24"/>
          <w:lang w:val="sq-AL"/>
        </w:rPr>
        <w:t>rporosive ku n</w:t>
      </w:r>
      <w:r w:rsidR="004968EB" w:rsidRPr="004968EB">
        <w:rPr>
          <w:rFonts w:ascii="Times New Roman" w:hAnsi="Times New Roman"/>
          <w:bCs/>
          <w:sz w:val="24"/>
          <w:szCs w:val="24"/>
          <w:lang w:val="sq-AL"/>
        </w:rPr>
        <w:t>ë</w:t>
      </w:r>
      <w:r w:rsidRPr="004968EB">
        <w:rPr>
          <w:rFonts w:ascii="Times New Roman" w:hAnsi="Times New Roman"/>
          <w:bCs/>
          <w:sz w:val="24"/>
          <w:szCs w:val="24"/>
          <w:lang w:val="sq-AL"/>
        </w:rPr>
        <w:t xml:space="preserve"> 431 letërporosi nga jashtë drejt Shqipërisë, janë përfunduar 229, nd</w:t>
      </w:r>
      <w:r w:rsidR="004968EB" w:rsidRPr="004968EB">
        <w:rPr>
          <w:rFonts w:ascii="Times New Roman" w:hAnsi="Times New Roman"/>
          <w:bCs/>
          <w:sz w:val="24"/>
          <w:szCs w:val="24"/>
          <w:lang w:val="sq-AL"/>
        </w:rPr>
        <w:t>ë</w:t>
      </w:r>
      <w:r w:rsidRPr="004968EB">
        <w:rPr>
          <w:rFonts w:ascii="Times New Roman" w:hAnsi="Times New Roman"/>
          <w:bCs/>
          <w:sz w:val="24"/>
          <w:szCs w:val="24"/>
          <w:lang w:val="sq-AL"/>
        </w:rPr>
        <w:t>rkoh</w:t>
      </w:r>
      <w:r w:rsidR="004968EB" w:rsidRPr="004968EB">
        <w:rPr>
          <w:rFonts w:ascii="Times New Roman" w:hAnsi="Times New Roman"/>
          <w:bCs/>
          <w:sz w:val="24"/>
          <w:szCs w:val="24"/>
          <w:lang w:val="sq-AL"/>
        </w:rPr>
        <w:t>ë</w:t>
      </w:r>
      <w:r w:rsidRPr="004968EB">
        <w:rPr>
          <w:rFonts w:ascii="Times New Roman" w:hAnsi="Times New Roman"/>
          <w:bCs/>
          <w:sz w:val="24"/>
          <w:szCs w:val="24"/>
          <w:lang w:val="sq-AL"/>
        </w:rPr>
        <w:t xml:space="preserve"> q</w:t>
      </w:r>
      <w:r w:rsidR="004968EB" w:rsidRPr="004968EB">
        <w:rPr>
          <w:rFonts w:ascii="Times New Roman" w:hAnsi="Times New Roman"/>
          <w:bCs/>
          <w:sz w:val="24"/>
          <w:szCs w:val="24"/>
          <w:lang w:val="sq-AL"/>
        </w:rPr>
        <w:t>ë</w:t>
      </w:r>
      <w:r w:rsidRPr="004968EB">
        <w:rPr>
          <w:rFonts w:ascii="Times New Roman" w:hAnsi="Times New Roman"/>
          <w:bCs/>
          <w:sz w:val="24"/>
          <w:szCs w:val="24"/>
          <w:lang w:val="sq-AL"/>
        </w:rPr>
        <w:t xml:space="preserve"> n</w:t>
      </w:r>
      <w:r w:rsidR="004968EB" w:rsidRPr="004968EB">
        <w:rPr>
          <w:rFonts w:ascii="Times New Roman" w:hAnsi="Times New Roman"/>
          <w:bCs/>
          <w:sz w:val="24"/>
          <w:szCs w:val="24"/>
          <w:lang w:val="sq-AL"/>
        </w:rPr>
        <w:t>ë</w:t>
      </w:r>
      <w:r w:rsidRPr="004968EB">
        <w:rPr>
          <w:rFonts w:ascii="Times New Roman" w:hAnsi="Times New Roman"/>
          <w:bCs/>
          <w:sz w:val="24"/>
          <w:szCs w:val="24"/>
          <w:lang w:val="sq-AL"/>
        </w:rPr>
        <w:t xml:space="preserve"> 491 letërporosi nga Shqipëria drejt vendeve te tjera, janë përfunduar 152. Jan</w:t>
      </w:r>
      <w:r w:rsidR="004968EB" w:rsidRPr="004968EB">
        <w:rPr>
          <w:rFonts w:ascii="Times New Roman" w:hAnsi="Times New Roman"/>
          <w:bCs/>
          <w:sz w:val="24"/>
          <w:szCs w:val="24"/>
          <w:lang w:val="sq-AL"/>
        </w:rPr>
        <w:t>ë</w:t>
      </w:r>
      <w:r w:rsidRPr="004968EB">
        <w:rPr>
          <w:rFonts w:ascii="Times New Roman" w:hAnsi="Times New Roman"/>
          <w:bCs/>
          <w:sz w:val="24"/>
          <w:szCs w:val="24"/>
          <w:lang w:val="sq-AL"/>
        </w:rPr>
        <w:t xml:space="preserve"> trajtuar 280 urdhër arreste ndërkombëtare të lëshuara nga autoritetet e huaja për shtetasit shqiptarë të cilët nuk mund të ekstradohen për shkak të shtetësisë shqiptare, nga </w:t>
      </w:r>
      <w:r w:rsidR="004B3D4F" w:rsidRPr="004968EB">
        <w:rPr>
          <w:rFonts w:ascii="Times New Roman" w:hAnsi="Times New Roman"/>
          <w:bCs/>
          <w:sz w:val="24"/>
          <w:szCs w:val="24"/>
          <w:lang w:val="sq-AL"/>
        </w:rPr>
        <w:t>të cilat 125 të përfunduara etj.</w:t>
      </w:r>
      <w:r w:rsidR="005A4A72" w:rsidRPr="004968EB">
        <w:rPr>
          <w:rFonts w:ascii="Times New Roman" w:hAnsi="Times New Roman"/>
          <w:sz w:val="24"/>
          <w:szCs w:val="24"/>
          <w:lang w:val="sq-AL"/>
        </w:rPr>
        <w:t xml:space="preserve"> </w:t>
      </w:r>
      <w:r w:rsidR="00BE7232" w:rsidRPr="004968EB">
        <w:rPr>
          <w:rFonts w:ascii="Times New Roman" w:hAnsi="Times New Roman"/>
          <w:sz w:val="24"/>
          <w:szCs w:val="24"/>
          <w:lang w:val="sq-AL"/>
        </w:rPr>
        <w:t>Impakt në volumin e punës kanë pasur edhe marrëveshjet dypalës</w:t>
      </w:r>
      <w:r w:rsidR="00BE7232">
        <w:rPr>
          <w:rFonts w:ascii="Times New Roman" w:hAnsi="Times New Roman"/>
          <w:sz w:val="24"/>
          <w:szCs w:val="24"/>
          <w:lang w:val="sq-AL"/>
        </w:rPr>
        <w:t>he të nënshkruara.</w:t>
      </w:r>
      <w:r w:rsidR="00BE7232" w:rsidRPr="004968EB">
        <w:rPr>
          <w:rFonts w:ascii="Times New Roman" w:hAnsi="Times New Roman"/>
          <w:sz w:val="24"/>
          <w:szCs w:val="24"/>
          <w:lang w:val="sq-AL"/>
        </w:rPr>
        <w:t xml:space="preserve"> Marrëveshja ndërmjet Mbretërisë së Spanjës dhe Republikës së Shqipërisë si shtesë e Konventës Europiane “Për Ekstradimin” e vitit 1957 e cila me hyrjen në fuqi në mars të vitit 2022 u zbatua menjëherë duke filluar procedurat e  ekstradimit të shte</w:t>
      </w:r>
      <w:r w:rsidR="00BE7232">
        <w:rPr>
          <w:rFonts w:ascii="Times New Roman" w:hAnsi="Times New Roman"/>
          <w:sz w:val="24"/>
          <w:szCs w:val="24"/>
          <w:lang w:val="sq-AL"/>
        </w:rPr>
        <w:t>tasve shqiptarë drejt Spanjës. N</w:t>
      </w:r>
      <w:r w:rsidR="00BE7232" w:rsidRPr="004968EB">
        <w:rPr>
          <w:rFonts w:ascii="Times New Roman" w:hAnsi="Times New Roman"/>
          <w:sz w:val="24"/>
          <w:szCs w:val="24"/>
          <w:lang w:val="sq-AL"/>
        </w:rPr>
        <w:t>ë tërësi për vitin 2023 rezultojnë 9 praktika ekstradimi drejt Spanjës, nga të cilat 8 janë përfunduar. Marrëveshja ndërmjet Republikës së Shqipërisë dhe Mbretërisë së Bashkuar të Britanisë së Madhe dhe Irlandës së Veriut “Për transferimin e personave të dënuar” e ratifikuar me ligjin nr. 125 datë 16.12.2021, hyri në fu</w:t>
      </w:r>
      <w:r w:rsidR="00BE7232">
        <w:rPr>
          <w:rFonts w:ascii="Times New Roman" w:hAnsi="Times New Roman"/>
          <w:sz w:val="24"/>
          <w:szCs w:val="24"/>
          <w:lang w:val="sq-AL"/>
        </w:rPr>
        <w:t>qi në datë 05.05.2022. G</w:t>
      </w:r>
      <w:r w:rsidR="00BE7232" w:rsidRPr="004968EB">
        <w:rPr>
          <w:rFonts w:ascii="Times New Roman" w:hAnsi="Times New Roman"/>
          <w:sz w:val="24"/>
          <w:szCs w:val="24"/>
          <w:lang w:val="sq-AL"/>
        </w:rPr>
        <w:t xml:space="preserve">jatë vitit 2023 janë paraqitur 38 kërkesa për transferimin e të dënuarve nga Mbretëria e Bashkuar në Shqipëri. Prokuroria e Përgjithshme së bashku me Ministrinë e Drejtësisë po bashkëpunojnë ngushtë </w:t>
      </w:r>
      <w:r w:rsidR="00BE7232">
        <w:rPr>
          <w:rFonts w:ascii="Times New Roman" w:hAnsi="Times New Roman"/>
          <w:sz w:val="24"/>
          <w:szCs w:val="24"/>
          <w:lang w:val="sq-AL"/>
        </w:rPr>
        <w:t xml:space="preserve">edhe </w:t>
      </w:r>
      <w:r w:rsidR="00BE7232" w:rsidRPr="004968EB">
        <w:rPr>
          <w:rFonts w:ascii="Times New Roman" w:hAnsi="Times New Roman"/>
          <w:sz w:val="24"/>
          <w:szCs w:val="24"/>
          <w:lang w:val="sq-AL"/>
        </w:rPr>
        <w:t xml:space="preserve">me Ambasadën </w:t>
      </w:r>
      <w:r w:rsidR="00BE7232">
        <w:rPr>
          <w:rFonts w:ascii="Times New Roman" w:hAnsi="Times New Roman"/>
          <w:sz w:val="24"/>
          <w:szCs w:val="24"/>
          <w:lang w:val="sq-AL"/>
        </w:rPr>
        <w:t>e Mbretërisë së Bashkuar</w:t>
      </w:r>
      <w:r w:rsidR="00BE7232" w:rsidRPr="004968EB">
        <w:rPr>
          <w:rFonts w:ascii="Times New Roman" w:hAnsi="Times New Roman"/>
          <w:sz w:val="24"/>
          <w:szCs w:val="24"/>
          <w:lang w:val="sq-AL"/>
        </w:rPr>
        <w:t xml:space="preserve"> në Tiranë për shmangien e vështirësive që hasen lidhur me këto praktika dhe realizimin me sukses të transferimeve.</w:t>
      </w:r>
    </w:p>
    <w:p w14:paraId="322BA64E" w14:textId="75D7116E" w:rsidR="004B3D4F" w:rsidRPr="004968EB" w:rsidRDefault="00AE27FB" w:rsidP="00BE7232">
      <w:pPr>
        <w:ind w:firstLine="360"/>
        <w:jc w:val="both"/>
        <w:rPr>
          <w:rFonts w:ascii="Times New Roman" w:hAnsi="Times New Roman"/>
          <w:sz w:val="24"/>
          <w:szCs w:val="24"/>
          <w:lang w:val="sq-AL"/>
        </w:rPr>
      </w:pPr>
      <w:r w:rsidRPr="004968EB">
        <w:rPr>
          <w:rFonts w:ascii="Times New Roman" w:hAnsi="Times New Roman"/>
          <w:sz w:val="24"/>
          <w:szCs w:val="24"/>
          <w:lang w:val="sq-AL"/>
        </w:rPr>
        <w:t>Prokurori i Përgjithshëm në cilësinë e përfaqësuesit të autoritetit kompetent</w:t>
      </w:r>
      <w:r w:rsidRPr="004968EB">
        <w:rPr>
          <w:rFonts w:ascii="Times New Roman" w:hAnsi="Times New Roman"/>
          <w:sz w:val="24"/>
          <w:szCs w:val="24"/>
          <w:vertAlign w:val="superscript"/>
          <w:lang w:val="sq-AL"/>
        </w:rPr>
        <w:footnoteReference w:id="3"/>
      </w:r>
      <w:r w:rsidRPr="004968EB">
        <w:rPr>
          <w:rFonts w:ascii="Times New Roman" w:hAnsi="Times New Roman"/>
          <w:sz w:val="24"/>
          <w:szCs w:val="24"/>
          <w:lang w:val="sq-AL"/>
        </w:rPr>
        <w:t xml:space="preserve"> ka vijuar zbatimin e Marrëveshjes së Bashkëpunimit me Eurojust, nëpërmjet</w:t>
      </w:r>
      <w:r w:rsidRPr="004968EB">
        <w:rPr>
          <w:rFonts w:ascii="Times New Roman" w:hAnsi="Times New Roman"/>
          <w:sz w:val="24"/>
          <w:szCs w:val="24"/>
        </w:rPr>
        <w:t xml:space="preserve"> </w:t>
      </w:r>
      <w:proofErr w:type="spellStart"/>
      <w:r w:rsidRPr="004968EB">
        <w:rPr>
          <w:rFonts w:ascii="Times New Roman" w:hAnsi="Times New Roman"/>
          <w:sz w:val="24"/>
          <w:szCs w:val="24"/>
        </w:rPr>
        <w:t>veprimtarisë</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të</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Prokurorit</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Ndërlidhës</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të</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Shqipërisë</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në</w:t>
      </w:r>
      <w:proofErr w:type="spellEnd"/>
      <w:r w:rsidRPr="004968EB">
        <w:rPr>
          <w:rFonts w:ascii="Times New Roman" w:hAnsi="Times New Roman"/>
          <w:sz w:val="24"/>
          <w:szCs w:val="24"/>
        </w:rPr>
        <w:t xml:space="preserve"> </w:t>
      </w:r>
      <w:proofErr w:type="spellStart"/>
      <w:r w:rsidRPr="004968EB">
        <w:rPr>
          <w:rFonts w:ascii="Times New Roman" w:hAnsi="Times New Roman"/>
          <w:sz w:val="24"/>
          <w:szCs w:val="24"/>
        </w:rPr>
        <w:t>Eurojust</w:t>
      </w:r>
      <w:proofErr w:type="spellEnd"/>
      <w:r w:rsidRPr="004968EB">
        <w:rPr>
          <w:rFonts w:ascii="Times New Roman" w:hAnsi="Times New Roman"/>
          <w:sz w:val="24"/>
          <w:szCs w:val="24"/>
        </w:rPr>
        <w:t xml:space="preserve">, </w:t>
      </w:r>
      <w:r w:rsidRPr="004968EB">
        <w:rPr>
          <w:rFonts w:ascii="Times New Roman" w:hAnsi="Times New Roman"/>
          <w:sz w:val="24"/>
          <w:szCs w:val="24"/>
          <w:lang w:val="sq-AL"/>
        </w:rPr>
        <w:t>prania e të cilës ka vijuar konsolidimin e përvojës dhe kapaciteteve, në drejtim të bashkëpunimit, koordinimit të hetimeve dhe shkëmbimit të shpejtë të informacionit me autoritet gjyqësore të vendeve evropiane dhe të vendeve të rajonit. Referuar të dhënave nga Zyra e Prokurorit Ndërlidhës Shqiptar në Eurojust, për vitin 2023</w:t>
      </w:r>
      <w:r w:rsidRPr="004968EB">
        <w:rPr>
          <w:rFonts w:ascii="Times New Roman" w:hAnsi="Times New Roman"/>
          <w:sz w:val="24"/>
          <w:szCs w:val="24"/>
        </w:rPr>
        <w:t xml:space="preserve">, </w:t>
      </w:r>
      <w:r w:rsidRPr="004968EB">
        <w:rPr>
          <w:rFonts w:ascii="Times New Roman" w:hAnsi="Times New Roman"/>
          <w:sz w:val="24"/>
          <w:szCs w:val="24"/>
          <w:lang w:val="sq-AL"/>
        </w:rPr>
        <w:t>janë mbështetur nga Eurojust 5 skuadra të përbashkëta hetimore të reja, dhe 17 skuadra të përbashkëta hetimore me autoritetet gjyqësore të huaja, që vijojnë punën e nisur në vitet e mëparshme. Shqipëria ka marrë pjesë në 22 mbledhje koordinuese, si organizuese në 3 prej tyre dhe e ftuar në 19 mbledhje të organizuara nga shtete të tjera. </w:t>
      </w:r>
    </w:p>
    <w:p w14:paraId="42DCA947" w14:textId="4BB699E6" w:rsidR="004968EB" w:rsidRDefault="00BE7232" w:rsidP="004968EB">
      <w:pPr>
        <w:spacing w:after="0"/>
        <w:ind w:firstLine="360"/>
        <w:jc w:val="both"/>
        <w:rPr>
          <w:rFonts w:ascii="Times New Roman" w:hAnsi="Times New Roman"/>
          <w:b/>
          <w:noProof/>
          <w:sz w:val="24"/>
          <w:szCs w:val="24"/>
          <w:lang w:val="sq-AL"/>
        </w:rPr>
      </w:pPr>
      <w:r>
        <w:rPr>
          <w:rFonts w:ascii="Times New Roman" w:hAnsi="Times New Roman"/>
          <w:b/>
          <w:noProof/>
          <w:sz w:val="24"/>
          <w:szCs w:val="24"/>
          <w:lang w:val="sq-AL"/>
        </w:rPr>
        <w:t>IV</w:t>
      </w:r>
      <w:r w:rsidR="004968EB" w:rsidRPr="00BE7232">
        <w:rPr>
          <w:rFonts w:ascii="Times New Roman" w:hAnsi="Times New Roman"/>
          <w:b/>
          <w:noProof/>
          <w:sz w:val="24"/>
          <w:szCs w:val="24"/>
          <w:lang w:val="sq-AL"/>
        </w:rPr>
        <w:t xml:space="preserve">. Dekriminalizimi </w:t>
      </w:r>
    </w:p>
    <w:p w14:paraId="1C4F4D4B" w14:textId="77777777" w:rsidR="00BE7232" w:rsidRPr="00BE7232" w:rsidRDefault="00BE7232" w:rsidP="004968EB">
      <w:pPr>
        <w:spacing w:after="0"/>
        <w:ind w:firstLine="360"/>
        <w:jc w:val="both"/>
        <w:rPr>
          <w:rFonts w:ascii="Times New Roman" w:hAnsi="Times New Roman"/>
          <w:b/>
          <w:noProof/>
          <w:sz w:val="24"/>
          <w:szCs w:val="24"/>
          <w:lang w:val="sq-AL"/>
        </w:rPr>
      </w:pPr>
    </w:p>
    <w:p w14:paraId="2656EC00" w14:textId="77777777" w:rsidR="004968EB" w:rsidRPr="004968EB" w:rsidRDefault="004968EB" w:rsidP="00BE7232">
      <w:pPr>
        <w:autoSpaceDE w:val="0"/>
        <w:autoSpaceDN w:val="0"/>
        <w:adjustRightInd w:val="0"/>
        <w:spacing w:after="0"/>
        <w:ind w:firstLine="360"/>
        <w:jc w:val="both"/>
        <w:rPr>
          <w:rFonts w:ascii="Times New Roman" w:eastAsia="Times New Roman" w:hAnsi="Times New Roman"/>
          <w:sz w:val="24"/>
          <w:szCs w:val="24"/>
          <w:lang w:val="sq-AL"/>
        </w:rPr>
      </w:pPr>
      <w:r w:rsidRPr="004968EB">
        <w:rPr>
          <w:rFonts w:ascii="Times New Roman" w:eastAsia="Times New Roman" w:hAnsi="Times New Roman"/>
          <w:sz w:val="24"/>
          <w:szCs w:val="24"/>
          <w:lang w:val="sq-AL"/>
        </w:rPr>
        <w:t>Gjatë vitit 2023, nga Sektori i Dekriminalizimit është ndjekur procesi i verifikimit të thelluar të të dhënave të vetëdeklaruara në formular, në zbatim t</w:t>
      </w:r>
      <w:r w:rsidRPr="004968EB">
        <w:rPr>
          <w:rFonts w:ascii="Times New Roman" w:eastAsia="Times New Roman" w:hAnsi="Times New Roman"/>
          <w:sz w:val="24"/>
          <w:szCs w:val="24"/>
        </w:rPr>
        <w:t xml:space="preserve">ë </w:t>
      </w:r>
      <w:proofErr w:type="spellStart"/>
      <w:r w:rsidRPr="004968EB">
        <w:rPr>
          <w:rFonts w:ascii="Times New Roman" w:eastAsia="Times New Roman" w:hAnsi="Times New Roman"/>
          <w:sz w:val="24"/>
          <w:szCs w:val="24"/>
        </w:rPr>
        <w:t>ligjit</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nr</w:t>
      </w:r>
      <w:proofErr w:type="spellEnd"/>
      <w:r w:rsidRPr="004968EB">
        <w:rPr>
          <w:rFonts w:ascii="Times New Roman" w:eastAsia="Times New Roman" w:hAnsi="Times New Roman"/>
          <w:sz w:val="24"/>
          <w:szCs w:val="24"/>
        </w:rPr>
        <w:t xml:space="preserve">. 138/2015, </w:t>
      </w:r>
      <w:r w:rsidRPr="004968EB">
        <w:rPr>
          <w:rFonts w:ascii="Times New Roman" w:eastAsia="Times New Roman" w:hAnsi="Times New Roman"/>
          <w:sz w:val="24"/>
          <w:szCs w:val="24"/>
          <w:lang w:val="sq-AL"/>
        </w:rPr>
        <w:t xml:space="preserve">për 155  subjekte. Nga 91  kërkesa të reja, gjatë vitit 2023 janë regjistruar 77 procese për verifikim të thelluar në zbatim të </w:t>
      </w:r>
      <w:proofErr w:type="spellStart"/>
      <w:r w:rsidRPr="004968EB">
        <w:rPr>
          <w:rFonts w:ascii="Times New Roman" w:eastAsia="Times New Roman" w:hAnsi="Times New Roman"/>
          <w:sz w:val="24"/>
          <w:szCs w:val="24"/>
        </w:rPr>
        <w:t>ligjit</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nr</w:t>
      </w:r>
      <w:proofErr w:type="spellEnd"/>
      <w:r w:rsidRPr="004968EB">
        <w:rPr>
          <w:rFonts w:ascii="Times New Roman" w:eastAsia="Times New Roman" w:hAnsi="Times New Roman"/>
          <w:sz w:val="24"/>
          <w:szCs w:val="24"/>
        </w:rPr>
        <w:t>. 138/2015.</w:t>
      </w:r>
      <w:r w:rsidRPr="004968EB">
        <w:rPr>
          <w:rFonts w:ascii="Times New Roman" w:eastAsia="Times New Roman" w:hAnsi="Times New Roman"/>
          <w:sz w:val="24"/>
          <w:szCs w:val="24"/>
          <w:lang w:val="sq-AL"/>
        </w:rPr>
        <w:t xml:space="preserve"> Këto procese, sipas organeve kompetente që kanë kërkuar verifikimin e thelluar të të dhënave të vetëdeklaruara në formularë nga subjektet, për vitin 2023, ju përkasin, 38  kërkesave të bëra nga Departamenti Administratës Publike dhe  39 të bëra nga Komisioni Qendror i Zgjedhjeve. Gjatë vitit  2023 janë përfunduar 85 procese për verifikim të thelluar nga të cilat 29 vendime janë procese të regjistruara gjatë vitit 2023 dhe 56 (pesëdhjetë e gjashtë) vendime janë procese të mbartura nga vitet 2017 - 2022.</w:t>
      </w:r>
    </w:p>
    <w:p w14:paraId="6FA8825B" w14:textId="1F916717" w:rsidR="004968EB" w:rsidRPr="004968EB" w:rsidRDefault="004968EB" w:rsidP="00BE7232">
      <w:pPr>
        <w:autoSpaceDE w:val="0"/>
        <w:autoSpaceDN w:val="0"/>
        <w:adjustRightInd w:val="0"/>
        <w:spacing w:after="0"/>
        <w:ind w:firstLine="360"/>
        <w:jc w:val="both"/>
        <w:rPr>
          <w:rFonts w:ascii="Times New Roman" w:eastAsia="Times New Roman" w:hAnsi="Times New Roman"/>
          <w:sz w:val="24"/>
          <w:szCs w:val="24"/>
        </w:rPr>
      </w:pPr>
      <w:r w:rsidRPr="004968EB">
        <w:rPr>
          <w:rFonts w:ascii="Times New Roman" w:eastAsia="Times New Roman" w:hAnsi="Times New Roman"/>
          <w:sz w:val="24"/>
          <w:szCs w:val="24"/>
          <w:lang w:val="sq-AL"/>
        </w:rPr>
        <w:t xml:space="preserve">Nga rastet për të cilat ka përfunduar procesi i verifikimit të thelluar në vitin 2023 dhe miratuar rezultati, </w:t>
      </w:r>
      <w:proofErr w:type="spellStart"/>
      <w:r w:rsidRPr="004968EB">
        <w:rPr>
          <w:rFonts w:ascii="Times New Roman" w:eastAsia="Times New Roman" w:hAnsi="Times New Roman"/>
          <w:sz w:val="24"/>
          <w:szCs w:val="24"/>
        </w:rPr>
        <w:t>mbështetur</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në</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nenet</w:t>
      </w:r>
      <w:proofErr w:type="spellEnd"/>
      <w:r w:rsidRPr="004968EB">
        <w:rPr>
          <w:rFonts w:ascii="Times New Roman" w:eastAsia="Times New Roman" w:hAnsi="Times New Roman"/>
          <w:sz w:val="24"/>
          <w:szCs w:val="24"/>
        </w:rPr>
        <w:t xml:space="preserve"> 69, 74 e 76 </w:t>
      </w:r>
      <w:proofErr w:type="spellStart"/>
      <w:r w:rsidRPr="004968EB">
        <w:rPr>
          <w:rFonts w:ascii="Times New Roman" w:eastAsia="Times New Roman" w:hAnsi="Times New Roman"/>
          <w:sz w:val="24"/>
          <w:szCs w:val="24"/>
        </w:rPr>
        <w:t>të</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Kodit</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të</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Procedurës</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Penale</w:t>
      </w:r>
      <w:proofErr w:type="spellEnd"/>
      <w:r w:rsidRPr="004968EB">
        <w:rPr>
          <w:rFonts w:ascii="Times New Roman" w:eastAsia="Times New Roman" w:hAnsi="Times New Roman"/>
          <w:sz w:val="24"/>
          <w:szCs w:val="24"/>
        </w:rPr>
        <w:t xml:space="preserve">, </w:t>
      </w:r>
      <w:r w:rsidRPr="004968EB">
        <w:rPr>
          <w:rFonts w:ascii="Times New Roman" w:eastAsia="Times New Roman" w:hAnsi="Times New Roman"/>
          <w:sz w:val="24"/>
          <w:szCs w:val="24"/>
          <w:lang w:val="sq-AL"/>
        </w:rPr>
        <w:t xml:space="preserve">për 9 persona, materiali është kaluar për kompetencë në prokuroritë përkatëse, </w:t>
      </w:r>
      <w:proofErr w:type="spellStart"/>
      <w:r w:rsidRPr="004968EB">
        <w:rPr>
          <w:rFonts w:ascii="Times New Roman" w:eastAsia="Times New Roman" w:hAnsi="Times New Roman"/>
          <w:sz w:val="24"/>
          <w:szCs w:val="24"/>
        </w:rPr>
        <w:t>si</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të</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dyshuar</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për</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veprën</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penale</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të</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Falsifikimit</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i</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vulave</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i</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stampave</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ose</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i</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formularëve</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parashikuar</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nga</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neni</w:t>
      </w:r>
      <w:proofErr w:type="spellEnd"/>
      <w:r w:rsidRPr="004968EB">
        <w:rPr>
          <w:rFonts w:ascii="Times New Roman" w:eastAsia="Times New Roman" w:hAnsi="Times New Roman"/>
          <w:sz w:val="24"/>
          <w:szCs w:val="24"/>
        </w:rPr>
        <w:t xml:space="preserve"> 190 </w:t>
      </w:r>
      <w:proofErr w:type="spellStart"/>
      <w:r w:rsidRPr="004968EB">
        <w:rPr>
          <w:rFonts w:ascii="Times New Roman" w:eastAsia="Times New Roman" w:hAnsi="Times New Roman"/>
          <w:sz w:val="24"/>
          <w:szCs w:val="24"/>
        </w:rPr>
        <w:t>i</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Kodit</w:t>
      </w:r>
      <w:proofErr w:type="spellEnd"/>
      <w:r w:rsidRPr="004968EB">
        <w:rPr>
          <w:rFonts w:ascii="Times New Roman" w:eastAsia="Times New Roman" w:hAnsi="Times New Roman"/>
          <w:sz w:val="24"/>
          <w:szCs w:val="24"/>
        </w:rPr>
        <w:t xml:space="preserve"> Penal, </w:t>
      </w:r>
      <w:proofErr w:type="spellStart"/>
      <w:r w:rsidRPr="004968EB">
        <w:rPr>
          <w:rFonts w:ascii="Times New Roman" w:eastAsia="Times New Roman" w:hAnsi="Times New Roman"/>
          <w:sz w:val="24"/>
          <w:szCs w:val="24"/>
        </w:rPr>
        <w:t>nga</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të</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cilat</w:t>
      </w:r>
      <w:proofErr w:type="spellEnd"/>
      <w:r w:rsidRPr="004968EB">
        <w:rPr>
          <w:rFonts w:ascii="Times New Roman" w:eastAsia="Times New Roman" w:hAnsi="Times New Roman"/>
          <w:sz w:val="24"/>
          <w:szCs w:val="24"/>
        </w:rPr>
        <w:t xml:space="preserve"> 4 </w:t>
      </w:r>
      <w:proofErr w:type="spellStart"/>
      <w:r w:rsidRPr="004968EB">
        <w:rPr>
          <w:rFonts w:ascii="Times New Roman" w:eastAsia="Times New Roman" w:hAnsi="Times New Roman"/>
          <w:sz w:val="24"/>
          <w:szCs w:val="24"/>
        </w:rPr>
        <w:t>janë</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për</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kërkesat</w:t>
      </w:r>
      <w:proofErr w:type="spellEnd"/>
      <w:r w:rsidRPr="004968EB">
        <w:rPr>
          <w:rFonts w:ascii="Times New Roman" w:eastAsia="Times New Roman" w:hAnsi="Times New Roman"/>
          <w:sz w:val="24"/>
          <w:szCs w:val="24"/>
        </w:rPr>
        <w:t xml:space="preserve"> e </w:t>
      </w:r>
      <w:proofErr w:type="spellStart"/>
      <w:r w:rsidRPr="004968EB">
        <w:rPr>
          <w:rFonts w:ascii="Times New Roman" w:eastAsia="Times New Roman" w:hAnsi="Times New Roman"/>
          <w:sz w:val="24"/>
          <w:szCs w:val="24"/>
        </w:rPr>
        <w:t>vitit</w:t>
      </w:r>
      <w:proofErr w:type="spellEnd"/>
      <w:r w:rsidRPr="004968EB">
        <w:rPr>
          <w:rFonts w:ascii="Times New Roman" w:eastAsia="Times New Roman" w:hAnsi="Times New Roman"/>
          <w:sz w:val="24"/>
          <w:szCs w:val="24"/>
        </w:rPr>
        <w:t xml:space="preserve"> 2023, 2 (</w:t>
      </w:r>
      <w:proofErr w:type="spellStart"/>
      <w:r w:rsidRPr="004968EB">
        <w:rPr>
          <w:rFonts w:ascii="Times New Roman" w:eastAsia="Times New Roman" w:hAnsi="Times New Roman"/>
          <w:sz w:val="24"/>
          <w:szCs w:val="24"/>
        </w:rPr>
        <w:t>dy</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për</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kërkesat</w:t>
      </w:r>
      <w:proofErr w:type="spellEnd"/>
      <w:r w:rsidRPr="004968EB">
        <w:rPr>
          <w:rFonts w:ascii="Times New Roman" w:eastAsia="Times New Roman" w:hAnsi="Times New Roman"/>
          <w:sz w:val="24"/>
          <w:szCs w:val="24"/>
        </w:rPr>
        <w:t xml:space="preserve"> e </w:t>
      </w:r>
      <w:proofErr w:type="spellStart"/>
      <w:r w:rsidRPr="004968EB">
        <w:rPr>
          <w:rFonts w:ascii="Times New Roman" w:eastAsia="Times New Roman" w:hAnsi="Times New Roman"/>
          <w:sz w:val="24"/>
          <w:szCs w:val="24"/>
        </w:rPr>
        <w:t>vitit</w:t>
      </w:r>
      <w:proofErr w:type="spellEnd"/>
      <w:r w:rsidRPr="004968EB">
        <w:rPr>
          <w:rFonts w:ascii="Times New Roman" w:eastAsia="Times New Roman" w:hAnsi="Times New Roman"/>
          <w:sz w:val="24"/>
          <w:szCs w:val="24"/>
        </w:rPr>
        <w:t xml:space="preserve"> 2020 </w:t>
      </w:r>
      <w:proofErr w:type="spellStart"/>
      <w:r w:rsidRPr="004968EB">
        <w:rPr>
          <w:rFonts w:ascii="Times New Roman" w:eastAsia="Times New Roman" w:hAnsi="Times New Roman"/>
          <w:sz w:val="24"/>
          <w:szCs w:val="24"/>
        </w:rPr>
        <w:t>dhe</w:t>
      </w:r>
      <w:proofErr w:type="spellEnd"/>
      <w:r w:rsidRPr="004968EB">
        <w:rPr>
          <w:rFonts w:ascii="Times New Roman" w:eastAsia="Times New Roman" w:hAnsi="Times New Roman"/>
          <w:sz w:val="24"/>
          <w:szCs w:val="24"/>
        </w:rPr>
        <w:t xml:space="preserve"> 3 (</w:t>
      </w:r>
      <w:proofErr w:type="spellStart"/>
      <w:r w:rsidRPr="004968EB">
        <w:rPr>
          <w:rFonts w:ascii="Times New Roman" w:eastAsia="Times New Roman" w:hAnsi="Times New Roman"/>
          <w:sz w:val="24"/>
          <w:szCs w:val="24"/>
        </w:rPr>
        <w:t>tre</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për</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kërkesat</w:t>
      </w:r>
      <w:proofErr w:type="spellEnd"/>
      <w:r w:rsidRPr="004968EB">
        <w:rPr>
          <w:rFonts w:ascii="Times New Roman" w:eastAsia="Times New Roman" w:hAnsi="Times New Roman"/>
          <w:sz w:val="24"/>
          <w:szCs w:val="24"/>
        </w:rPr>
        <w:t xml:space="preserve"> e </w:t>
      </w:r>
      <w:proofErr w:type="spellStart"/>
      <w:r w:rsidRPr="004968EB">
        <w:rPr>
          <w:rFonts w:ascii="Times New Roman" w:eastAsia="Times New Roman" w:hAnsi="Times New Roman"/>
          <w:sz w:val="24"/>
          <w:szCs w:val="24"/>
        </w:rPr>
        <w:t>vitit</w:t>
      </w:r>
      <w:proofErr w:type="spellEnd"/>
      <w:r w:rsidRPr="004968EB">
        <w:rPr>
          <w:rFonts w:ascii="Times New Roman" w:eastAsia="Times New Roman" w:hAnsi="Times New Roman"/>
          <w:sz w:val="24"/>
          <w:szCs w:val="24"/>
        </w:rPr>
        <w:t xml:space="preserve"> 2021. </w:t>
      </w:r>
      <w:r w:rsidRPr="004968EB">
        <w:rPr>
          <w:rFonts w:ascii="Times New Roman" w:eastAsia="Times New Roman" w:hAnsi="Times New Roman"/>
          <w:sz w:val="24"/>
          <w:szCs w:val="24"/>
          <w:lang w:val="sq-AL"/>
        </w:rPr>
        <w:t>Personat që kanë rezultuar të kenë plotësuar formularin e vetëdeklarimit me të dhëna të rreme, ju përkasin kërkesave për verifikim të ardhura si vijon:</w:t>
      </w:r>
    </w:p>
    <w:p w14:paraId="2E9DCC67" w14:textId="77777777" w:rsidR="004968EB" w:rsidRPr="004968EB" w:rsidRDefault="004968EB" w:rsidP="004968EB">
      <w:pPr>
        <w:numPr>
          <w:ilvl w:val="0"/>
          <w:numId w:val="7"/>
        </w:numPr>
        <w:autoSpaceDE w:val="0"/>
        <w:autoSpaceDN w:val="0"/>
        <w:adjustRightInd w:val="0"/>
        <w:spacing w:after="0"/>
        <w:jc w:val="both"/>
        <w:rPr>
          <w:rFonts w:ascii="Times New Roman" w:eastAsia="Times New Roman" w:hAnsi="Times New Roman"/>
          <w:sz w:val="24"/>
          <w:szCs w:val="24"/>
          <w:lang w:val="sq-AL"/>
        </w:rPr>
      </w:pPr>
      <w:r w:rsidRPr="004968EB">
        <w:rPr>
          <w:rFonts w:ascii="Times New Roman" w:eastAsia="Times New Roman" w:hAnsi="Times New Roman"/>
          <w:sz w:val="24"/>
          <w:szCs w:val="24"/>
          <w:lang w:val="sq-AL"/>
        </w:rPr>
        <w:t>8 (tetë) nga Departamenti i Administratës Publike;</w:t>
      </w:r>
    </w:p>
    <w:p w14:paraId="2DEEC521" w14:textId="41524EA6" w:rsidR="004968EB" w:rsidRPr="004968EB" w:rsidRDefault="004968EB" w:rsidP="004968EB">
      <w:pPr>
        <w:numPr>
          <w:ilvl w:val="0"/>
          <w:numId w:val="7"/>
        </w:numPr>
        <w:autoSpaceDE w:val="0"/>
        <w:autoSpaceDN w:val="0"/>
        <w:adjustRightInd w:val="0"/>
        <w:spacing w:after="0"/>
        <w:jc w:val="both"/>
        <w:rPr>
          <w:rFonts w:ascii="Times New Roman" w:eastAsia="Times New Roman" w:hAnsi="Times New Roman"/>
          <w:sz w:val="24"/>
          <w:szCs w:val="24"/>
          <w:lang w:val="sq-AL"/>
        </w:rPr>
      </w:pPr>
      <w:r w:rsidRPr="004968EB">
        <w:rPr>
          <w:rFonts w:ascii="Times New Roman" w:eastAsia="Times New Roman" w:hAnsi="Times New Roman"/>
          <w:sz w:val="24"/>
          <w:szCs w:val="24"/>
          <w:lang w:val="sq-AL"/>
        </w:rPr>
        <w:t>1 (një</w:t>
      </w:r>
      <w:r w:rsidRPr="004968EB">
        <w:rPr>
          <w:rFonts w:ascii="Times New Roman" w:eastAsia="Times New Roman" w:hAnsi="Times New Roman"/>
          <w:i/>
          <w:sz w:val="24"/>
          <w:szCs w:val="24"/>
          <w:lang w:val="sq-AL"/>
        </w:rPr>
        <w:t>)</w:t>
      </w:r>
      <w:r w:rsidRPr="004968EB">
        <w:rPr>
          <w:rFonts w:ascii="Times New Roman" w:eastAsia="Times New Roman" w:hAnsi="Times New Roman"/>
          <w:sz w:val="24"/>
          <w:szCs w:val="24"/>
          <w:lang w:val="sq-AL"/>
        </w:rPr>
        <w:t xml:space="preserve"> nga </w:t>
      </w:r>
      <w:proofErr w:type="spellStart"/>
      <w:r w:rsidRPr="004968EB">
        <w:rPr>
          <w:rFonts w:ascii="Times New Roman" w:eastAsia="Times New Roman" w:hAnsi="Times New Roman"/>
          <w:sz w:val="24"/>
          <w:szCs w:val="24"/>
        </w:rPr>
        <w:t>Komisioni</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Qendror</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i</w:t>
      </w:r>
      <w:proofErr w:type="spellEnd"/>
      <w:r w:rsidRPr="004968EB">
        <w:rPr>
          <w:rFonts w:ascii="Times New Roman" w:eastAsia="Times New Roman" w:hAnsi="Times New Roman"/>
          <w:sz w:val="24"/>
          <w:szCs w:val="24"/>
        </w:rPr>
        <w:t xml:space="preserve"> </w:t>
      </w:r>
      <w:proofErr w:type="spellStart"/>
      <w:r w:rsidRPr="004968EB">
        <w:rPr>
          <w:rFonts w:ascii="Times New Roman" w:eastAsia="Times New Roman" w:hAnsi="Times New Roman"/>
          <w:sz w:val="24"/>
          <w:szCs w:val="24"/>
        </w:rPr>
        <w:t>Zgjedhjeve</w:t>
      </w:r>
      <w:proofErr w:type="spellEnd"/>
      <w:r w:rsidRPr="004968EB">
        <w:rPr>
          <w:rFonts w:ascii="Times New Roman" w:eastAsia="Times New Roman" w:hAnsi="Times New Roman"/>
          <w:sz w:val="24"/>
          <w:szCs w:val="24"/>
        </w:rPr>
        <w:t>.</w:t>
      </w:r>
    </w:p>
    <w:p w14:paraId="0DA01FE2" w14:textId="77777777" w:rsidR="004968EB" w:rsidRPr="004968EB" w:rsidRDefault="004968EB" w:rsidP="004968EB">
      <w:pPr>
        <w:autoSpaceDE w:val="0"/>
        <w:autoSpaceDN w:val="0"/>
        <w:adjustRightInd w:val="0"/>
        <w:spacing w:after="0"/>
        <w:ind w:left="360"/>
        <w:jc w:val="both"/>
        <w:rPr>
          <w:rFonts w:ascii="Times New Roman" w:eastAsia="Times New Roman" w:hAnsi="Times New Roman"/>
          <w:sz w:val="24"/>
          <w:szCs w:val="24"/>
          <w:lang w:val="sq-AL"/>
        </w:rPr>
      </w:pPr>
    </w:p>
    <w:p w14:paraId="36D33D02" w14:textId="74E4B7BB" w:rsidR="00461C94" w:rsidRPr="00BE7232" w:rsidRDefault="009A73CB" w:rsidP="004968EB">
      <w:pPr>
        <w:spacing w:after="0"/>
        <w:ind w:firstLine="360"/>
        <w:jc w:val="both"/>
        <w:rPr>
          <w:rFonts w:ascii="Times New Roman" w:hAnsi="Times New Roman"/>
          <w:b/>
          <w:sz w:val="24"/>
          <w:szCs w:val="24"/>
          <w:lang w:val="sq-AL"/>
        </w:rPr>
      </w:pPr>
      <w:r>
        <w:rPr>
          <w:rFonts w:ascii="Times New Roman" w:hAnsi="Times New Roman"/>
          <w:b/>
          <w:sz w:val="24"/>
          <w:szCs w:val="24"/>
          <w:lang w:val="sq-AL"/>
        </w:rPr>
        <w:t>V</w:t>
      </w:r>
      <w:r w:rsidR="00461C94" w:rsidRPr="00BE7232">
        <w:rPr>
          <w:rFonts w:ascii="Times New Roman" w:hAnsi="Times New Roman"/>
          <w:b/>
          <w:sz w:val="24"/>
          <w:szCs w:val="24"/>
          <w:lang w:val="sq-AL"/>
        </w:rPr>
        <w:t xml:space="preserve">. </w:t>
      </w:r>
      <w:r w:rsidR="00461C94" w:rsidRPr="00BE7232">
        <w:rPr>
          <w:rFonts w:ascii="Times New Roman" w:hAnsi="Times New Roman"/>
          <w:b/>
          <w:noProof/>
          <w:sz w:val="24"/>
          <w:szCs w:val="24"/>
          <w:lang w:val="sq-AL"/>
        </w:rPr>
        <w:t>Zbatimi i hartës së re gjyqësore dhe përmirësimi i infrastrukturës për rritjen e efic</w:t>
      </w:r>
      <w:r>
        <w:rPr>
          <w:rFonts w:ascii="Times New Roman" w:hAnsi="Times New Roman"/>
          <w:b/>
          <w:noProof/>
          <w:sz w:val="24"/>
          <w:szCs w:val="24"/>
          <w:lang w:val="sq-AL"/>
        </w:rPr>
        <w:t>i</w:t>
      </w:r>
      <w:r w:rsidR="00461C94" w:rsidRPr="00BE7232">
        <w:rPr>
          <w:rFonts w:ascii="Times New Roman" w:hAnsi="Times New Roman"/>
          <w:b/>
          <w:noProof/>
          <w:sz w:val="24"/>
          <w:szCs w:val="24"/>
          <w:lang w:val="sq-AL"/>
        </w:rPr>
        <w:t>encës në prokurori</w:t>
      </w:r>
      <w:r w:rsidR="00461C94" w:rsidRPr="00BE7232">
        <w:rPr>
          <w:rFonts w:ascii="Times New Roman" w:hAnsi="Times New Roman"/>
          <w:b/>
          <w:sz w:val="24"/>
          <w:szCs w:val="24"/>
          <w:lang w:val="sq-AL"/>
        </w:rPr>
        <w:t xml:space="preserve"> </w:t>
      </w:r>
    </w:p>
    <w:p w14:paraId="5DBDEBCD" w14:textId="77777777" w:rsidR="00BE7232" w:rsidRDefault="00BE7232" w:rsidP="004968EB">
      <w:pPr>
        <w:spacing w:after="0"/>
        <w:ind w:firstLine="360"/>
        <w:jc w:val="both"/>
        <w:rPr>
          <w:rFonts w:ascii="Times New Roman" w:hAnsi="Times New Roman"/>
          <w:sz w:val="24"/>
          <w:szCs w:val="24"/>
          <w:lang w:val="sq-AL"/>
        </w:rPr>
      </w:pPr>
    </w:p>
    <w:p w14:paraId="72C444E0" w14:textId="05A9CA2E" w:rsidR="002377E5" w:rsidRPr="004968EB" w:rsidRDefault="002E5F35" w:rsidP="004968EB">
      <w:pPr>
        <w:spacing w:after="0"/>
        <w:ind w:firstLine="360"/>
        <w:jc w:val="both"/>
        <w:rPr>
          <w:rFonts w:ascii="Times New Roman" w:hAnsi="Times New Roman"/>
          <w:sz w:val="24"/>
          <w:szCs w:val="24"/>
          <w:lang w:val="sq-AL"/>
        </w:rPr>
      </w:pPr>
      <w:r w:rsidRPr="004968EB">
        <w:rPr>
          <w:rFonts w:ascii="Times New Roman" w:hAnsi="Times New Roman"/>
          <w:sz w:val="24"/>
          <w:szCs w:val="24"/>
          <w:lang w:val="sq-AL"/>
        </w:rPr>
        <w:t>Në kuadrin e hartës së re gjyqësore, Prokuroria e Përgjithshme</w:t>
      </w:r>
      <w:r w:rsidR="0024379B" w:rsidRPr="004968EB">
        <w:rPr>
          <w:rFonts w:ascii="Times New Roman" w:hAnsi="Times New Roman"/>
          <w:sz w:val="24"/>
          <w:szCs w:val="24"/>
          <w:lang w:val="sq-AL"/>
        </w:rPr>
        <w:t xml:space="preserve"> mori t</w:t>
      </w:r>
      <w:r w:rsidR="004968EB" w:rsidRPr="004968EB">
        <w:rPr>
          <w:rFonts w:ascii="Times New Roman" w:hAnsi="Times New Roman"/>
          <w:sz w:val="24"/>
          <w:szCs w:val="24"/>
          <w:lang w:val="sq-AL"/>
        </w:rPr>
        <w:t>ë</w:t>
      </w:r>
      <w:r w:rsidR="0024379B" w:rsidRPr="004968EB">
        <w:rPr>
          <w:rFonts w:ascii="Times New Roman" w:hAnsi="Times New Roman"/>
          <w:sz w:val="24"/>
          <w:szCs w:val="24"/>
          <w:lang w:val="sq-AL"/>
        </w:rPr>
        <w:t xml:space="preserve"> gjitha masat e nevojshme administrative</w:t>
      </w:r>
      <w:r w:rsidR="002377E5" w:rsidRPr="004968EB">
        <w:rPr>
          <w:rFonts w:ascii="Times New Roman" w:hAnsi="Times New Roman"/>
          <w:sz w:val="24"/>
          <w:szCs w:val="24"/>
          <w:lang w:val="sq-AL"/>
        </w:rPr>
        <w:t xml:space="preserve"> n</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baz</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nj</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s</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r</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aktesh n</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nligjore 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miratuara dhe u arrit q</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zbatimi i i saj 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kryhej me sukses, pas asnj</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problem n</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vijueshm</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rin</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e pun</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s.  Gjat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k</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saj faze</w:t>
      </w:r>
      <w:r w:rsidRPr="004968EB">
        <w:rPr>
          <w:rFonts w:ascii="Times New Roman" w:hAnsi="Times New Roman"/>
          <w:sz w:val="24"/>
          <w:szCs w:val="24"/>
          <w:lang w:val="sq-AL"/>
        </w:rPr>
        <w:t xml:space="preserve"> është </w:t>
      </w:r>
      <w:r w:rsidR="002377E5" w:rsidRPr="004968EB">
        <w:rPr>
          <w:rFonts w:ascii="Times New Roman" w:hAnsi="Times New Roman"/>
          <w:sz w:val="24"/>
          <w:szCs w:val="24"/>
          <w:lang w:val="sq-AL"/>
        </w:rPr>
        <w:t>u koordinua dhe bashk</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punua </w:t>
      </w:r>
      <w:r w:rsidRPr="004968EB">
        <w:rPr>
          <w:rFonts w:ascii="Times New Roman" w:hAnsi="Times New Roman"/>
          <w:sz w:val="24"/>
          <w:szCs w:val="24"/>
          <w:lang w:val="sq-AL"/>
        </w:rPr>
        <w:t xml:space="preserve"> me Këshillin e Lartë Gjyqësor, Këshillin e Lartë të Prokurorisë dhe Ministrinë e Drejtësisë.</w:t>
      </w:r>
      <w:r w:rsidR="002377E5" w:rsidRPr="004968EB">
        <w:rPr>
          <w:rFonts w:ascii="Times New Roman" w:hAnsi="Times New Roman"/>
          <w:sz w:val="24"/>
          <w:szCs w:val="24"/>
          <w:lang w:val="sq-AL"/>
        </w:rPr>
        <w:t xml:space="preserve"> Ç</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shtja kryesore q</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mbetet 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zgjidhet n</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kuad</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r 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hart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s s</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re gjyq</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sore lidhet me infrastruktur</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n. </w:t>
      </w:r>
      <w:r w:rsidR="004968EB" w:rsidRPr="004968EB">
        <w:rPr>
          <w:rFonts w:ascii="Times New Roman" w:hAnsi="Times New Roman"/>
          <w:sz w:val="24"/>
          <w:szCs w:val="24"/>
          <w:lang w:val="sq-AL"/>
        </w:rPr>
        <w:t xml:space="preserve">Nga ana jonë janë planifikuar disa masa që për realizimin e tyre kërkojnë angazhim ndërinstitucional. Ka përfunduar detyra e projektimit nga Bashkia Tiranë në bashkëpunim me Këshillin e Lartë Gjyqësor, Prokurorinë e Përgjithshme, Prokurorinë e Apelit të Juridiksionit të Përgjithshëm dhe Prokurorinë Tiranë, për ndërtimin e një godine të re akomodimi për të gjitha institucionet e sipërcituara. Pas vënies në dispozicion nga Bashkia Tiranë të një sheshi ndërtimi, do të vijohet me hartimin e projektit, por duhet të zgjidhet çështja e financimit. </w:t>
      </w:r>
      <w:r w:rsidRPr="004968EB">
        <w:rPr>
          <w:rFonts w:ascii="Times New Roman" w:hAnsi="Times New Roman"/>
          <w:sz w:val="24"/>
          <w:szCs w:val="24"/>
          <w:lang w:val="sq-AL"/>
        </w:rPr>
        <w:t>Për Prokurorinë pranë Gjykatës së Juridiksionit të Përgjithshëm Fier, i është kërkuar Bashkisë Fier marrja në a</w:t>
      </w:r>
      <w:r w:rsidR="004968EB" w:rsidRPr="004968EB">
        <w:rPr>
          <w:rFonts w:ascii="Times New Roman" w:hAnsi="Times New Roman"/>
          <w:sz w:val="24"/>
          <w:szCs w:val="24"/>
          <w:lang w:val="sq-AL"/>
        </w:rPr>
        <w:t xml:space="preserve">dministrim e një godine tjetër pasi godina ekzistuese nuk i plotëson nevojat. </w:t>
      </w:r>
      <w:r w:rsidR="002377E5" w:rsidRPr="004968EB">
        <w:rPr>
          <w:rFonts w:ascii="Times New Roman" w:hAnsi="Times New Roman"/>
          <w:sz w:val="24"/>
          <w:szCs w:val="24"/>
          <w:lang w:val="sq-AL"/>
        </w:rPr>
        <w:t>Mbetemi n</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pritje 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realizimit</w:t>
      </w:r>
      <w:r w:rsidRPr="004968EB">
        <w:rPr>
          <w:rFonts w:ascii="Times New Roman" w:hAnsi="Times New Roman"/>
          <w:sz w:val="24"/>
          <w:szCs w:val="24"/>
          <w:lang w:val="sq-AL"/>
        </w:rPr>
        <w:t xml:space="preserve"> </w:t>
      </w:r>
      <w:r w:rsidR="002377E5" w:rsidRPr="004968EB">
        <w:rPr>
          <w:rFonts w:ascii="Times New Roman" w:hAnsi="Times New Roman"/>
          <w:sz w:val="24"/>
          <w:szCs w:val="24"/>
          <w:lang w:val="sq-AL"/>
        </w:rPr>
        <w:t>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plot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t</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marrëveshjes ndërmjet Prokurorisë së Përgjithshme, Këshillit të Lartë Gjyqësor dhe Ministrisë së Drejtësisë për vënien në dispozicion të ambienteve akomoduese shtesë/ndërtesa ekzistuese të cilat më pas do t’i nënshtrohen rikonstruksionit dhe përshtatjes, për prokuroritë dhe gjykatat në rrethet</w:t>
      </w:r>
      <w:r w:rsidR="002377E5" w:rsidRPr="004968EB">
        <w:rPr>
          <w:rFonts w:ascii="Times New Roman" w:hAnsi="Times New Roman"/>
          <w:sz w:val="24"/>
          <w:szCs w:val="24"/>
          <w:lang w:val="sq-AL"/>
        </w:rPr>
        <w:t xml:space="preserve"> Gjirokastër, Vlorë dhe Durrës. </w:t>
      </w:r>
      <w:r w:rsidR="004968EB" w:rsidRPr="004968EB">
        <w:rPr>
          <w:rFonts w:ascii="Times New Roman" w:hAnsi="Times New Roman"/>
          <w:sz w:val="24"/>
          <w:szCs w:val="24"/>
          <w:lang w:val="sq-AL"/>
        </w:rPr>
        <w:t>Edhe pas këtyre masave, p</w:t>
      </w:r>
      <w:r w:rsidR="002377E5" w:rsidRPr="004968EB">
        <w:rPr>
          <w:rFonts w:ascii="Times New Roman" w:hAnsi="Times New Roman"/>
          <w:sz w:val="24"/>
          <w:szCs w:val="24"/>
          <w:lang w:val="sq-AL"/>
        </w:rPr>
        <w:t>roblem do 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vijojn</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mbeten P</w:t>
      </w:r>
      <w:r w:rsidR="004968EB" w:rsidRPr="004968EB">
        <w:rPr>
          <w:rFonts w:ascii="Times New Roman" w:hAnsi="Times New Roman"/>
          <w:sz w:val="24"/>
          <w:szCs w:val="24"/>
          <w:lang w:val="sq-AL"/>
        </w:rPr>
        <w:t xml:space="preserve">rokuroria Durrës dhe ajo </w:t>
      </w:r>
      <w:r w:rsidR="002377E5" w:rsidRPr="004968EB">
        <w:rPr>
          <w:rFonts w:ascii="Times New Roman" w:hAnsi="Times New Roman"/>
          <w:sz w:val="24"/>
          <w:szCs w:val="24"/>
          <w:lang w:val="sq-AL"/>
        </w:rPr>
        <w:t>Sarand</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ku ambjentet ekzistuese jan</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pamjaftueshme n</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se do 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 xml:space="preserve"> plot</w:t>
      </w:r>
      <w:r w:rsidR="004968EB" w:rsidRPr="004968EB">
        <w:rPr>
          <w:rFonts w:ascii="Times New Roman" w:hAnsi="Times New Roman"/>
          <w:sz w:val="24"/>
          <w:szCs w:val="24"/>
          <w:lang w:val="sq-AL"/>
        </w:rPr>
        <w:t>ë</w:t>
      </w:r>
      <w:r w:rsidR="002377E5" w:rsidRPr="004968EB">
        <w:rPr>
          <w:rFonts w:ascii="Times New Roman" w:hAnsi="Times New Roman"/>
          <w:sz w:val="24"/>
          <w:szCs w:val="24"/>
          <w:lang w:val="sq-AL"/>
        </w:rPr>
        <w:t>soheshin organikat.</w:t>
      </w:r>
    </w:p>
    <w:p w14:paraId="1390402F" w14:textId="055202D8" w:rsidR="002E5F35" w:rsidRPr="004968EB" w:rsidRDefault="002377E5" w:rsidP="004968EB">
      <w:pPr>
        <w:spacing w:after="0"/>
        <w:ind w:firstLine="360"/>
        <w:jc w:val="both"/>
        <w:rPr>
          <w:rFonts w:ascii="Times New Roman" w:hAnsi="Times New Roman"/>
          <w:sz w:val="24"/>
          <w:szCs w:val="24"/>
          <w:lang w:val="sq-AL"/>
        </w:rPr>
      </w:pPr>
      <w:r w:rsidRPr="004968EB">
        <w:rPr>
          <w:rFonts w:ascii="Times New Roman" w:hAnsi="Times New Roman"/>
          <w:sz w:val="24"/>
          <w:szCs w:val="24"/>
          <w:lang w:val="sq-AL"/>
        </w:rPr>
        <w:t>Problem urgjent q</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mbetet p</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r t’u zgjidhur </w:t>
      </w:r>
      <w:r w:rsidR="004968EB" w:rsidRPr="004968EB">
        <w:rPr>
          <w:rFonts w:ascii="Times New Roman" w:hAnsi="Times New Roman"/>
          <w:sz w:val="24"/>
          <w:szCs w:val="24"/>
          <w:lang w:val="sq-AL"/>
        </w:rPr>
        <w:t>ë</w:t>
      </w:r>
      <w:r w:rsidRPr="004968EB">
        <w:rPr>
          <w:rFonts w:ascii="Times New Roman" w:hAnsi="Times New Roman"/>
          <w:sz w:val="24"/>
          <w:szCs w:val="24"/>
          <w:lang w:val="sq-AL"/>
        </w:rPr>
        <w:t>sht</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ai q</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lidhet me arkivat, ku situata po r</w:t>
      </w:r>
      <w:r w:rsidR="004968EB" w:rsidRPr="004968EB">
        <w:rPr>
          <w:rFonts w:ascii="Times New Roman" w:hAnsi="Times New Roman"/>
          <w:sz w:val="24"/>
          <w:szCs w:val="24"/>
          <w:lang w:val="sq-AL"/>
        </w:rPr>
        <w:t>ë</w:t>
      </w:r>
      <w:r w:rsidRPr="004968EB">
        <w:rPr>
          <w:rFonts w:ascii="Times New Roman" w:hAnsi="Times New Roman"/>
          <w:sz w:val="24"/>
          <w:szCs w:val="24"/>
          <w:lang w:val="sq-AL"/>
        </w:rPr>
        <w:t>ndohet s</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tep</w:t>
      </w:r>
      <w:r w:rsidR="004968EB" w:rsidRPr="004968EB">
        <w:rPr>
          <w:rFonts w:ascii="Times New Roman" w:hAnsi="Times New Roman"/>
          <w:sz w:val="24"/>
          <w:szCs w:val="24"/>
          <w:lang w:val="sq-AL"/>
        </w:rPr>
        <w:t>ë</w:t>
      </w:r>
      <w:r w:rsidRPr="004968EB">
        <w:rPr>
          <w:rFonts w:ascii="Times New Roman" w:hAnsi="Times New Roman"/>
          <w:sz w:val="24"/>
          <w:szCs w:val="24"/>
          <w:lang w:val="sq-AL"/>
        </w:rPr>
        <w:t>rmi. Vler</w:t>
      </w:r>
      <w:r w:rsidR="004968EB" w:rsidRPr="004968EB">
        <w:rPr>
          <w:rFonts w:ascii="Times New Roman" w:hAnsi="Times New Roman"/>
          <w:sz w:val="24"/>
          <w:szCs w:val="24"/>
          <w:lang w:val="sq-AL"/>
        </w:rPr>
        <w:t>ë</w:t>
      </w:r>
      <w:r w:rsidRPr="004968EB">
        <w:rPr>
          <w:rFonts w:ascii="Times New Roman" w:hAnsi="Times New Roman"/>
          <w:sz w:val="24"/>
          <w:szCs w:val="24"/>
          <w:lang w:val="sq-AL"/>
        </w:rPr>
        <w:t>soj se ka nevoj</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p</w:t>
      </w:r>
      <w:r w:rsidR="004968EB" w:rsidRPr="004968EB">
        <w:rPr>
          <w:rFonts w:ascii="Times New Roman" w:hAnsi="Times New Roman"/>
          <w:sz w:val="24"/>
          <w:szCs w:val="24"/>
          <w:lang w:val="sq-AL"/>
        </w:rPr>
        <w:t>ë</w:t>
      </w:r>
      <w:r w:rsidRPr="004968EB">
        <w:rPr>
          <w:rFonts w:ascii="Times New Roman" w:hAnsi="Times New Roman"/>
          <w:sz w:val="24"/>
          <w:szCs w:val="24"/>
          <w:lang w:val="sq-AL"/>
        </w:rPr>
        <w:t>r nd</w:t>
      </w:r>
      <w:r w:rsidR="004968EB" w:rsidRPr="004968EB">
        <w:rPr>
          <w:rFonts w:ascii="Times New Roman" w:hAnsi="Times New Roman"/>
          <w:sz w:val="24"/>
          <w:szCs w:val="24"/>
          <w:lang w:val="sq-AL"/>
        </w:rPr>
        <w:t>ë</w:t>
      </w:r>
      <w:r w:rsidRPr="004968EB">
        <w:rPr>
          <w:rFonts w:ascii="Times New Roman" w:hAnsi="Times New Roman"/>
          <w:sz w:val="24"/>
          <w:szCs w:val="24"/>
          <w:lang w:val="sq-AL"/>
        </w:rPr>
        <w:t>rhyrje ligjore si dhe</w:t>
      </w:r>
      <w:r w:rsidR="00BE7232">
        <w:rPr>
          <w:rFonts w:ascii="Times New Roman" w:hAnsi="Times New Roman"/>
          <w:sz w:val="24"/>
          <w:szCs w:val="24"/>
          <w:lang w:val="sq-AL"/>
        </w:rPr>
        <w:t xml:space="preserve"> marrjen e masave ndërinstitucionale për </w:t>
      </w:r>
      <w:r w:rsidRPr="004968EB">
        <w:rPr>
          <w:rFonts w:ascii="Times New Roman" w:hAnsi="Times New Roman"/>
          <w:sz w:val="24"/>
          <w:szCs w:val="24"/>
          <w:lang w:val="sq-AL"/>
        </w:rPr>
        <w:t xml:space="preserve"> sigurim t</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infrastruktur</w:t>
      </w:r>
      <w:r w:rsidR="004968EB" w:rsidRPr="004968EB">
        <w:rPr>
          <w:rFonts w:ascii="Times New Roman" w:hAnsi="Times New Roman"/>
          <w:sz w:val="24"/>
          <w:szCs w:val="24"/>
          <w:lang w:val="sq-AL"/>
        </w:rPr>
        <w:t>ë</w:t>
      </w:r>
      <w:r w:rsidRPr="004968EB">
        <w:rPr>
          <w:rFonts w:ascii="Times New Roman" w:hAnsi="Times New Roman"/>
          <w:sz w:val="24"/>
          <w:szCs w:val="24"/>
          <w:lang w:val="sq-AL"/>
        </w:rPr>
        <w:t>s q</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do t</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mund</w:t>
      </w:r>
      <w:r w:rsidR="004968EB" w:rsidRPr="004968EB">
        <w:rPr>
          <w:rFonts w:ascii="Times New Roman" w:hAnsi="Times New Roman"/>
          <w:sz w:val="24"/>
          <w:szCs w:val="24"/>
          <w:lang w:val="sq-AL"/>
        </w:rPr>
        <w:t>ë</w:t>
      </w:r>
      <w:r w:rsidRPr="004968EB">
        <w:rPr>
          <w:rFonts w:ascii="Times New Roman" w:hAnsi="Times New Roman"/>
          <w:sz w:val="24"/>
          <w:szCs w:val="24"/>
          <w:lang w:val="sq-AL"/>
        </w:rPr>
        <w:t>soj</w:t>
      </w:r>
      <w:r w:rsidR="004968EB" w:rsidRPr="004968EB">
        <w:rPr>
          <w:rFonts w:ascii="Times New Roman" w:hAnsi="Times New Roman"/>
          <w:sz w:val="24"/>
          <w:szCs w:val="24"/>
          <w:lang w:val="sq-AL"/>
        </w:rPr>
        <w:t>ë</w:t>
      </w:r>
      <w:r w:rsidRPr="004968EB">
        <w:rPr>
          <w:rFonts w:ascii="Times New Roman" w:hAnsi="Times New Roman"/>
          <w:sz w:val="24"/>
          <w:szCs w:val="24"/>
          <w:lang w:val="sq-AL"/>
        </w:rPr>
        <w:t xml:space="preserve"> ruajtjen e </w:t>
      </w:r>
      <w:r w:rsidR="00BE7232">
        <w:rPr>
          <w:rFonts w:ascii="Times New Roman" w:hAnsi="Times New Roman"/>
          <w:sz w:val="24"/>
          <w:szCs w:val="24"/>
          <w:lang w:val="sq-AL"/>
        </w:rPr>
        <w:t xml:space="preserve">tyre.  </w:t>
      </w:r>
    </w:p>
    <w:p w14:paraId="64716ADB" w14:textId="765BD6C0" w:rsidR="006C2FF3" w:rsidRPr="004968EB" w:rsidRDefault="004968EB" w:rsidP="004968EB">
      <w:pPr>
        <w:spacing w:after="0"/>
        <w:ind w:firstLine="360"/>
        <w:jc w:val="both"/>
        <w:rPr>
          <w:rFonts w:ascii="Times New Roman" w:hAnsi="Times New Roman"/>
          <w:sz w:val="24"/>
          <w:szCs w:val="24"/>
          <w:lang w:val="sq-AL"/>
        </w:rPr>
      </w:pPr>
      <w:r w:rsidRPr="004968EB">
        <w:rPr>
          <w:rFonts w:ascii="Times New Roman" w:eastAsia="MS Mincho" w:hAnsi="Times New Roman"/>
          <w:sz w:val="24"/>
          <w:szCs w:val="24"/>
        </w:rPr>
        <w:t xml:space="preserve">Sa </w:t>
      </w:r>
      <w:proofErr w:type="spellStart"/>
      <w:r w:rsidR="00BE7232">
        <w:rPr>
          <w:rFonts w:ascii="Times New Roman" w:eastAsia="MS Mincho" w:hAnsi="Times New Roman"/>
          <w:sz w:val="24"/>
          <w:szCs w:val="24"/>
        </w:rPr>
        <w:t>i</w:t>
      </w:r>
      <w:proofErr w:type="spellEnd"/>
      <w:r w:rsidR="00BE7232">
        <w:rPr>
          <w:rFonts w:ascii="Times New Roman" w:eastAsia="MS Mincho" w:hAnsi="Times New Roman"/>
          <w:sz w:val="24"/>
          <w:szCs w:val="24"/>
        </w:rPr>
        <w:t xml:space="preserve"> </w:t>
      </w:r>
      <w:r w:rsidRPr="004968EB">
        <w:rPr>
          <w:rFonts w:ascii="Times New Roman" w:eastAsia="MS Mincho" w:hAnsi="Times New Roman"/>
          <w:sz w:val="24"/>
          <w:szCs w:val="24"/>
        </w:rPr>
        <w:t xml:space="preserve"> </w:t>
      </w:r>
      <w:proofErr w:type="spellStart"/>
      <w:r w:rsidRPr="004968EB">
        <w:rPr>
          <w:rFonts w:ascii="Times New Roman" w:eastAsia="MS Mincho" w:hAnsi="Times New Roman"/>
          <w:sz w:val="24"/>
          <w:szCs w:val="24"/>
        </w:rPr>
        <w:t>përket</w:t>
      </w:r>
      <w:proofErr w:type="spellEnd"/>
      <w:r w:rsidRPr="004968EB">
        <w:rPr>
          <w:rFonts w:ascii="Times New Roman" w:eastAsia="MS Mincho" w:hAnsi="Times New Roman"/>
          <w:sz w:val="24"/>
          <w:szCs w:val="24"/>
        </w:rPr>
        <w:t xml:space="preserve"> </w:t>
      </w:r>
      <w:proofErr w:type="spellStart"/>
      <w:r w:rsidRPr="004968EB">
        <w:rPr>
          <w:rFonts w:ascii="Times New Roman" w:eastAsia="MS Mincho" w:hAnsi="Times New Roman"/>
          <w:sz w:val="24"/>
          <w:szCs w:val="24"/>
        </w:rPr>
        <w:t>sistemit</w:t>
      </w:r>
      <w:proofErr w:type="spellEnd"/>
      <w:r w:rsidRPr="004968EB">
        <w:rPr>
          <w:rFonts w:ascii="Times New Roman" w:eastAsia="MS Mincho" w:hAnsi="Times New Roman"/>
          <w:sz w:val="24"/>
          <w:szCs w:val="24"/>
        </w:rPr>
        <w:t xml:space="preserve"> </w:t>
      </w:r>
      <w:proofErr w:type="spellStart"/>
      <w:r w:rsidRPr="004968EB">
        <w:rPr>
          <w:rFonts w:ascii="Times New Roman" w:eastAsia="MS Mincho" w:hAnsi="Times New Roman"/>
          <w:sz w:val="24"/>
          <w:szCs w:val="24"/>
        </w:rPr>
        <w:t>të</w:t>
      </w:r>
      <w:proofErr w:type="spellEnd"/>
      <w:r w:rsidRPr="004968EB">
        <w:rPr>
          <w:rFonts w:ascii="Times New Roman" w:eastAsia="MS Mincho" w:hAnsi="Times New Roman"/>
          <w:sz w:val="24"/>
          <w:szCs w:val="24"/>
        </w:rPr>
        <w:t xml:space="preserve"> </w:t>
      </w:r>
      <w:proofErr w:type="spellStart"/>
      <w:r w:rsidRPr="004968EB">
        <w:rPr>
          <w:rFonts w:ascii="Times New Roman" w:eastAsia="MS Mincho" w:hAnsi="Times New Roman"/>
          <w:sz w:val="24"/>
          <w:szCs w:val="24"/>
        </w:rPr>
        <w:t>menaxhimit</w:t>
      </w:r>
      <w:proofErr w:type="spellEnd"/>
      <w:r w:rsidRPr="004968EB">
        <w:rPr>
          <w:rFonts w:ascii="Times New Roman" w:eastAsia="MS Mincho" w:hAnsi="Times New Roman"/>
          <w:sz w:val="24"/>
          <w:szCs w:val="24"/>
        </w:rPr>
        <w:t xml:space="preserve"> </w:t>
      </w:r>
      <w:proofErr w:type="spellStart"/>
      <w:r w:rsidRPr="004968EB">
        <w:rPr>
          <w:rFonts w:ascii="Times New Roman" w:eastAsia="MS Mincho" w:hAnsi="Times New Roman"/>
          <w:sz w:val="24"/>
          <w:szCs w:val="24"/>
        </w:rPr>
        <w:t>të</w:t>
      </w:r>
      <w:proofErr w:type="spellEnd"/>
      <w:r w:rsidRPr="004968EB">
        <w:rPr>
          <w:rFonts w:ascii="Times New Roman" w:eastAsia="MS Mincho" w:hAnsi="Times New Roman"/>
          <w:sz w:val="24"/>
          <w:szCs w:val="24"/>
        </w:rPr>
        <w:t xml:space="preserve"> </w:t>
      </w:r>
      <w:proofErr w:type="spellStart"/>
      <w:r w:rsidRPr="004968EB">
        <w:rPr>
          <w:rFonts w:ascii="Times New Roman" w:eastAsia="MS Mincho" w:hAnsi="Times New Roman"/>
          <w:sz w:val="24"/>
          <w:szCs w:val="24"/>
        </w:rPr>
        <w:t>çështjeve</w:t>
      </w:r>
      <w:proofErr w:type="spellEnd"/>
      <w:r w:rsidRPr="004968EB">
        <w:rPr>
          <w:rFonts w:ascii="Times New Roman" w:eastAsia="MS Mincho" w:hAnsi="Times New Roman"/>
          <w:sz w:val="24"/>
          <w:szCs w:val="24"/>
        </w:rPr>
        <w:t xml:space="preserve">, </w:t>
      </w:r>
      <w:proofErr w:type="spellStart"/>
      <w:r w:rsidRPr="004968EB">
        <w:rPr>
          <w:rFonts w:ascii="Times New Roman" w:eastAsia="MS Mincho" w:hAnsi="Times New Roman"/>
          <w:sz w:val="24"/>
          <w:szCs w:val="24"/>
        </w:rPr>
        <w:t>është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ngrit</w:t>
      </w:r>
      <w:r w:rsidRPr="004968EB">
        <w:rPr>
          <w:rFonts w:ascii="Times New Roman" w:eastAsia="MS Mincho" w:hAnsi="Times New Roman"/>
          <w:sz w:val="24"/>
          <w:szCs w:val="24"/>
        </w:rPr>
        <w:t>ur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grupi</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i</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ekspertëve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mbështetës</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për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sistemin</w:t>
      </w:r>
      <w:proofErr w:type="spellEnd"/>
      <w:r w:rsidR="004B3D4F" w:rsidRPr="004968EB">
        <w:rPr>
          <w:rFonts w:ascii="Times New Roman" w:eastAsia="MS Mincho" w:hAnsi="Times New Roman"/>
          <w:sz w:val="24"/>
          <w:szCs w:val="24"/>
        </w:rPr>
        <w:t xml:space="preserve"> e </w:t>
      </w:r>
      <w:proofErr w:type="spellStart"/>
      <w:r w:rsidR="004B3D4F" w:rsidRPr="004968EB">
        <w:rPr>
          <w:rFonts w:ascii="Times New Roman" w:eastAsia="MS Mincho" w:hAnsi="Times New Roman"/>
          <w:sz w:val="24"/>
          <w:szCs w:val="24"/>
        </w:rPr>
        <w:t>qendërzuar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çështjeve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për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siguruar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mbështetje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dhe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koordinim</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sa</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më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efektiv</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prokurorisë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për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realiz</w:t>
      </w:r>
      <w:r w:rsidRPr="004968EB">
        <w:rPr>
          <w:rFonts w:ascii="Times New Roman" w:eastAsia="MS Mincho" w:hAnsi="Times New Roman"/>
          <w:sz w:val="24"/>
          <w:szCs w:val="24"/>
        </w:rPr>
        <w:t>imin</w:t>
      </w:r>
      <w:proofErr w:type="spellEnd"/>
      <w:r w:rsidRPr="004968EB">
        <w:rPr>
          <w:rFonts w:ascii="Times New Roman" w:eastAsia="MS Mincho" w:hAnsi="Times New Roman"/>
          <w:sz w:val="24"/>
          <w:szCs w:val="24"/>
        </w:rPr>
        <w:t xml:space="preserve"> e </w:t>
      </w:r>
      <w:proofErr w:type="spellStart"/>
      <w:r w:rsidRPr="004968EB">
        <w:rPr>
          <w:rFonts w:ascii="Times New Roman" w:eastAsia="MS Mincho" w:hAnsi="Times New Roman"/>
          <w:sz w:val="24"/>
          <w:szCs w:val="24"/>
        </w:rPr>
        <w:t>këtij</w:t>
      </w:r>
      <w:proofErr w:type="spellEnd"/>
      <w:r w:rsidRPr="004968EB">
        <w:rPr>
          <w:rFonts w:ascii="Times New Roman" w:eastAsia="MS Mincho" w:hAnsi="Times New Roman"/>
          <w:sz w:val="24"/>
          <w:szCs w:val="24"/>
        </w:rPr>
        <w:t xml:space="preserve"> </w:t>
      </w:r>
      <w:proofErr w:type="spellStart"/>
      <w:r w:rsidRPr="004968EB">
        <w:rPr>
          <w:rFonts w:ascii="Times New Roman" w:eastAsia="MS Mincho" w:hAnsi="Times New Roman"/>
          <w:sz w:val="24"/>
          <w:szCs w:val="24"/>
        </w:rPr>
        <w:t>projekti</w:t>
      </w:r>
      <w:proofErr w:type="spellEnd"/>
      <w:r w:rsidRPr="004968EB">
        <w:rPr>
          <w:rFonts w:ascii="Times New Roman" w:eastAsia="MS Mincho" w:hAnsi="Times New Roman"/>
          <w:sz w:val="24"/>
          <w:szCs w:val="24"/>
        </w:rPr>
        <w:t xml:space="preserve">. </w:t>
      </w:r>
      <w:proofErr w:type="spellStart"/>
      <w:r w:rsidRPr="004968EB">
        <w:rPr>
          <w:rFonts w:ascii="Times New Roman" w:eastAsia="MS Mincho" w:hAnsi="Times New Roman"/>
          <w:sz w:val="24"/>
          <w:szCs w:val="24"/>
        </w:rPr>
        <w:t>Ë</w:t>
      </w:r>
      <w:r w:rsidR="004B3D4F" w:rsidRPr="004968EB">
        <w:rPr>
          <w:rFonts w:ascii="Times New Roman" w:eastAsia="MS Mincho" w:hAnsi="Times New Roman"/>
          <w:sz w:val="24"/>
          <w:szCs w:val="24"/>
        </w:rPr>
        <w:t>shtë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bashkërenduar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puna</w:t>
      </w:r>
      <w:proofErr w:type="spellEnd"/>
      <w:r w:rsidR="004B3D4F" w:rsidRPr="004968EB">
        <w:rPr>
          <w:rFonts w:ascii="Times New Roman" w:eastAsia="MS Mincho" w:hAnsi="Times New Roman"/>
          <w:sz w:val="24"/>
          <w:szCs w:val="24"/>
        </w:rPr>
        <w:t xml:space="preserve"> me </w:t>
      </w:r>
      <w:proofErr w:type="spellStart"/>
      <w:r w:rsidR="004B3D4F" w:rsidRPr="004968EB">
        <w:rPr>
          <w:rFonts w:ascii="Times New Roman" w:eastAsia="MS Mincho" w:hAnsi="Times New Roman"/>
          <w:sz w:val="24"/>
          <w:szCs w:val="24"/>
        </w:rPr>
        <w:t>Qendrën</w:t>
      </w:r>
      <w:proofErr w:type="spellEnd"/>
      <w:r w:rsidR="004B3D4F" w:rsidRPr="004968EB">
        <w:rPr>
          <w:rFonts w:ascii="Times New Roman" w:eastAsia="MS Mincho" w:hAnsi="Times New Roman"/>
          <w:sz w:val="24"/>
          <w:szCs w:val="24"/>
        </w:rPr>
        <w:t xml:space="preserve"> e </w:t>
      </w:r>
      <w:proofErr w:type="spellStart"/>
      <w:r w:rsidR="004B3D4F" w:rsidRPr="004968EB">
        <w:rPr>
          <w:rFonts w:ascii="Times New Roman" w:eastAsia="MS Mincho" w:hAnsi="Times New Roman"/>
          <w:sz w:val="24"/>
          <w:szCs w:val="24"/>
        </w:rPr>
        <w:t>Teknologjisë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Informacionit</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për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Sistemin</w:t>
      </w:r>
      <w:proofErr w:type="spellEnd"/>
      <w:r w:rsidR="004B3D4F" w:rsidRPr="004968EB">
        <w:rPr>
          <w:rFonts w:ascii="Times New Roman" w:eastAsia="MS Mincho" w:hAnsi="Times New Roman"/>
          <w:sz w:val="24"/>
          <w:szCs w:val="24"/>
        </w:rPr>
        <w:t xml:space="preserve"> e </w:t>
      </w:r>
      <w:proofErr w:type="spellStart"/>
      <w:r w:rsidR="004B3D4F" w:rsidRPr="004968EB">
        <w:rPr>
          <w:rFonts w:ascii="Times New Roman" w:eastAsia="MS Mincho" w:hAnsi="Times New Roman"/>
          <w:sz w:val="24"/>
          <w:szCs w:val="24"/>
        </w:rPr>
        <w:t>Drejtësisë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dhe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është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hartuar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korniza</w:t>
      </w:r>
      <w:proofErr w:type="spellEnd"/>
      <w:r w:rsidR="004B3D4F" w:rsidRPr="004968EB">
        <w:rPr>
          <w:rFonts w:ascii="Times New Roman" w:eastAsia="MS Mincho" w:hAnsi="Times New Roman"/>
          <w:sz w:val="24"/>
          <w:szCs w:val="24"/>
        </w:rPr>
        <w:t xml:space="preserve"> e </w:t>
      </w:r>
      <w:proofErr w:type="spellStart"/>
      <w:r w:rsidR="004B3D4F" w:rsidRPr="004968EB">
        <w:rPr>
          <w:rFonts w:ascii="Times New Roman" w:eastAsia="MS Mincho" w:hAnsi="Times New Roman"/>
          <w:sz w:val="24"/>
          <w:szCs w:val="24"/>
        </w:rPr>
        <w:t>ndërveprimit</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sistemeve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reja</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sistemit</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drejtësisë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ku</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përfshihet</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edhe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sistemi</w:t>
      </w:r>
      <w:proofErr w:type="spellEnd"/>
      <w:r w:rsidR="004B3D4F" w:rsidRPr="004968EB">
        <w:rPr>
          <w:rFonts w:ascii="Times New Roman" w:eastAsia="MS Mincho" w:hAnsi="Times New Roman"/>
          <w:sz w:val="24"/>
          <w:szCs w:val="24"/>
        </w:rPr>
        <w:t xml:space="preserve"> CAMS) e </w:t>
      </w:r>
      <w:proofErr w:type="spellStart"/>
      <w:r w:rsidR="004B3D4F" w:rsidRPr="004968EB">
        <w:rPr>
          <w:rFonts w:ascii="Times New Roman" w:eastAsia="MS Mincho" w:hAnsi="Times New Roman"/>
          <w:sz w:val="24"/>
          <w:szCs w:val="24"/>
        </w:rPr>
        <w:t>cila</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përfshin</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ndër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tjera</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ndërlidhjen</w:t>
      </w:r>
      <w:proofErr w:type="spellEnd"/>
      <w:r w:rsidR="004B3D4F" w:rsidRPr="004968EB">
        <w:rPr>
          <w:rFonts w:ascii="Times New Roman" w:eastAsia="MS Mincho" w:hAnsi="Times New Roman"/>
          <w:sz w:val="24"/>
          <w:szCs w:val="24"/>
        </w:rPr>
        <w:t xml:space="preserve"> e </w:t>
      </w:r>
      <w:proofErr w:type="spellStart"/>
      <w:r w:rsidR="004B3D4F" w:rsidRPr="004968EB">
        <w:rPr>
          <w:rFonts w:ascii="Times New Roman" w:eastAsia="MS Mincho" w:hAnsi="Times New Roman"/>
          <w:sz w:val="24"/>
          <w:szCs w:val="24"/>
        </w:rPr>
        <w:t>sistemeve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elektronike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tyre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ndërmjet</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tyre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por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edhe</w:t>
      </w:r>
      <w:proofErr w:type="spellEnd"/>
      <w:r w:rsidR="004B3D4F" w:rsidRPr="004968EB">
        <w:rPr>
          <w:rFonts w:ascii="Times New Roman" w:eastAsia="MS Mincho" w:hAnsi="Times New Roman"/>
          <w:sz w:val="24"/>
          <w:szCs w:val="24"/>
        </w:rPr>
        <w:t xml:space="preserve"> me </w:t>
      </w:r>
      <w:proofErr w:type="spellStart"/>
      <w:r w:rsidR="004B3D4F" w:rsidRPr="004968EB">
        <w:rPr>
          <w:rFonts w:ascii="Times New Roman" w:eastAsia="MS Mincho" w:hAnsi="Times New Roman"/>
          <w:sz w:val="24"/>
          <w:szCs w:val="24"/>
        </w:rPr>
        <w:t>bazat</w:t>
      </w:r>
      <w:proofErr w:type="spellEnd"/>
      <w:r w:rsidR="004B3D4F" w:rsidRPr="004968EB">
        <w:rPr>
          <w:rFonts w:ascii="Times New Roman" w:eastAsia="MS Mincho" w:hAnsi="Times New Roman"/>
          <w:sz w:val="24"/>
          <w:szCs w:val="24"/>
        </w:rPr>
        <w:t xml:space="preserve"> e </w:t>
      </w:r>
      <w:proofErr w:type="spellStart"/>
      <w:r w:rsidR="004B3D4F" w:rsidRPr="004968EB">
        <w:rPr>
          <w:rFonts w:ascii="Times New Roman" w:eastAsia="MS Mincho" w:hAnsi="Times New Roman"/>
          <w:sz w:val="24"/>
          <w:szCs w:val="24"/>
        </w:rPr>
        <w:t>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dhënave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shtetërore</w:t>
      </w:r>
      <w:proofErr w:type="spellEnd"/>
      <w:r w:rsidR="004B3D4F" w:rsidRPr="004968EB">
        <w:rPr>
          <w:rFonts w:ascii="Times New Roman" w:eastAsia="MS Mincho" w:hAnsi="Times New Roman"/>
          <w:sz w:val="24"/>
          <w:szCs w:val="24"/>
        </w:rPr>
        <w:t xml:space="preserve"> me </w:t>
      </w:r>
      <w:proofErr w:type="spellStart"/>
      <w:r w:rsidR="004B3D4F" w:rsidRPr="004968EB">
        <w:rPr>
          <w:rFonts w:ascii="Times New Roman" w:eastAsia="MS Mincho" w:hAnsi="Times New Roman"/>
          <w:sz w:val="24"/>
          <w:szCs w:val="24"/>
        </w:rPr>
        <w:t>protokolle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informatike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për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një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komunikim</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sa</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më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efiçent</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dhe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sigurtë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Nd</w:t>
      </w:r>
      <w:r w:rsidRPr="004968EB">
        <w:rPr>
          <w:rFonts w:ascii="Times New Roman" w:eastAsia="MS Mincho" w:hAnsi="Times New Roman"/>
          <w:sz w:val="24"/>
          <w:szCs w:val="24"/>
        </w:rPr>
        <w:t>ë</w:t>
      </w:r>
      <w:r w:rsidR="004B3D4F" w:rsidRPr="004968EB">
        <w:rPr>
          <w:rFonts w:ascii="Times New Roman" w:eastAsia="MS Mincho" w:hAnsi="Times New Roman"/>
          <w:sz w:val="24"/>
          <w:szCs w:val="24"/>
        </w:rPr>
        <w:t>rkoh</w:t>
      </w:r>
      <w:r w:rsidRPr="004968EB">
        <w:rPr>
          <w:rFonts w:ascii="Times New Roman" w:eastAsia="MS Mincho" w:hAnsi="Times New Roman"/>
          <w:sz w:val="24"/>
          <w:szCs w:val="24"/>
        </w:rPr>
        <w: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q</w:t>
      </w:r>
      <w:r w:rsidRPr="004968EB">
        <w:rPr>
          <w:rFonts w:ascii="Times New Roman" w:eastAsia="MS Mincho" w:hAnsi="Times New Roman"/>
          <w:sz w:val="24"/>
          <w:szCs w:val="24"/>
        </w:rPr>
        <w: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kemi</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nisur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kontaktet</w:t>
      </w:r>
      <w:proofErr w:type="spellEnd"/>
      <w:r w:rsidR="004B3D4F" w:rsidRPr="004968EB">
        <w:rPr>
          <w:rFonts w:ascii="Times New Roman" w:eastAsia="MS Mincho" w:hAnsi="Times New Roman"/>
          <w:sz w:val="24"/>
          <w:szCs w:val="24"/>
        </w:rPr>
        <w:t xml:space="preserve"> e para me </w:t>
      </w:r>
      <w:proofErr w:type="spellStart"/>
      <w:r w:rsidR="004B3D4F" w:rsidRPr="004968EB">
        <w:rPr>
          <w:rFonts w:ascii="Times New Roman" w:eastAsia="MS Mincho" w:hAnsi="Times New Roman"/>
          <w:sz w:val="24"/>
          <w:szCs w:val="24"/>
        </w:rPr>
        <w:t>p</w:t>
      </w:r>
      <w:r w:rsidRPr="004968EB">
        <w:rPr>
          <w:rFonts w:ascii="Times New Roman" w:eastAsia="MS Mincho" w:hAnsi="Times New Roman"/>
          <w:sz w:val="24"/>
          <w:szCs w:val="24"/>
        </w:rPr>
        <w:t>ë</w:t>
      </w:r>
      <w:r w:rsidR="004B3D4F" w:rsidRPr="004968EB">
        <w:rPr>
          <w:rFonts w:ascii="Times New Roman" w:eastAsia="MS Mincho" w:hAnsi="Times New Roman"/>
          <w:sz w:val="24"/>
          <w:szCs w:val="24"/>
        </w:rPr>
        <w:t>rfaq</w:t>
      </w:r>
      <w:r w:rsidRPr="004968EB">
        <w:rPr>
          <w:rFonts w:ascii="Times New Roman" w:eastAsia="MS Mincho" w:hAnsi="Times New Roman"/>
          <w:sz w:val="24"/>
          <w:szCs w:val="24"/>
        </w:rPr>
        <w:t>ë</w:t>
      </w:r>
      <w:r w:rsidR="004B3D4F" w:rsidRPr="004968EB">
        <w:rPr>
          <w:rFonts w:ascii="Times New Roman" w:eastAsia="MS Mincho" w:hAnsi="Times New Roman"/>
          <w:sz w:val="24"/>
          <w:szCs w:val="24"/>
        </w:rPr>
        <w:t>suesit</w:t>
      </w:r>
      <w:proofErr w:type="spellEnd"/>
      <w:r w:rsidR="004B3D4F" w:rsidRPr="004968EB">
        <w:rPr>
          <w:rFonts w:ascii="Times New Roman" w:eastAsia="MS Mincho" w:hAnsi="Times New Roman"/>
          <w:sz w:val="24"/>
          <w:szCs w:val="24"/>
        </w:rPr>
        <w:t xml:space="preserve"> e </w:t>
      </w:r>
      <w:proofErr w:type="spellStart"/>
      <w:r w:rsidR="004B3D4F" w:rsidRPr="004968EB">
        <w:rPr>
          <w:rFonts w:ascii="Times New Roman" w:eastAsia="MS Mincho" w:hAnsi="Times New Roman"/>
          <w:sz w:val="24"/>
          <w:szCs w:val="24"/>
        </w:rPr>
        <w:t>Delegacionit</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w:t>
      </w:r>
      <w:r w:rsidRPr="004968EB">
        <w:rPr>
          <w:rFonts w:ascii="Times New Roman" w:eastAsia="MS Mincho" w:hAnsi="Times New Roman"/>
          <w:sz w:val="24"/>
          <w:szCs w:val="24"/>
        </w:rPr>
        <w:t>ë</w:t>
      </w:r>
      <w:proofErr w:type="spellEnd"/>
      <w:r w:rsidR="004B3D4F" w:rsidRPr="004968EB">
        <w:rPr>
          <w:rFonts w:ascii="Times New Roman" w:eastAsia="MS Mincho" w:hAnsi="Times New Roman"/>
          <w:sz w:val="24"/>
          <w:szCs w:val="24"/>
        </w:rPr>
        <w:t xml:space="preserve"> BE </w:t>
      </w:r>
      <w:proofErr w:type="spellStart"/>
      <w:r w:rsidR="004B3D4F" w:rsidRPr="004968EB">
        <w:rPr>
          <w:rFonts w:ascii="Times New Roman" w:eastAsia="MS Mincho" w:hAnsi="Times New Roman"/>
          <w:sz w:val="24"/>
          <w:szCs w:val="24"/>
        </w:rPr>
        <w:t>n</w:t>
      </w:r>
      <w:r w:rsidRPr="004968EB">
        <w:rPr>
          <w:rFonts w:ascii="Times New Roman" w:eastAsia="MS Mincho" w:hAnsi="Times New Roman"/>
          <w:sz w:val="24"/>
          <w:szCs w:val="24"/>
        </w:rPr>
        <w: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Shqip</w:t>
      </w:r>
      <w:r w:rsidRPr="004968EB">
        <w:rPr>
          <w:rFonts w:ascii="Times New Roman" w:eastAsia="MS Mincho" w:hAnsi="Times New Roman"/>
          <w:sz w:val="24"/>
          <w:szCs w:val="24"/>
        </w:rPr>
        <w:t>ë</w:t>
      </w:r>
      <w:r w:rsidR="004B3D4F" w:rsidRPr="004968EB">
        <w:rPr>
          <w:rFonts w:ascii="Times New Roman" w:eastAsia="MS Mincho" w:hAnsi="Times New Roman"/>
          <w:sz w:val="24"/>
          <w:szCs w:val="24"/>
        </w:rPr>
        <w:t>ri</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p</w:t>
      </w:r>
      <w:r w:rsidRPr="004968EB">
        <w:rPr>
          <w:rFonts w:ascii="Times New Roman" w:eastAsia="MS Mincho" w:hAnsi="Times New Roman"/>
          <w:sz w:val="24"/>
          <w:szCs w:val="24"/>
        </w:rPr>
        <w:t>ë</w:t>
      </w:r>
      <w:r w:rsidR="004B3D4F" w:rsidRPr="004968EB">
        <w:rPr>
          <w:rFonts w:ascii="Times New Roman" w:eastAsia="MS Mincho" w:hAnsi="Times New Roman"/>
          <w:sz w:val="24"/>
          <w:szCs w:val="24"/>
        </w:rPr>
        <w:t>r</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mb</w:t>
      </w:r>
      <w:r w:rsidRPr="004968EB">
        <w:rPr>
          <w:rFonts w:ascii="Times New Roman" w:eastAsia="MS Mincho" w:hAnsi="Times New Roman"/>
          <w:sz w:val="24"/>
          <w:szCs w:val="24"/>
        </w:rPr>
        <w:t>ë</w:t>
      </w:r>
      <w:r w:rsidR="004B3D4F" w:rsidRPr="004968EB">
        <w:rPr>
          <w:rFonts w:ascii="Times New Roman" w:eastAsia="MS Mincho" w:hAnsi="Times New Roman"/>
          <w:sz w:val="24"/>
          <w:szCs w:val="24"/>
        </w:rPr>
        <w:t>shtetjen</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prej</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fondeve</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w:t>
      </w:r>
      <w:r w:rsidRPr="004968EB">
        <w:rPr>
          <w:rFonts w:ascii="Times New Roman" w:eastAsia="MS Mincho" w:hAnsi="Times New Roman"/>
          <w:sz w:val="24"/>
          <w:szCs w:val="24"/>
        </w:rPr>
        <w:t>ë</w:t>
      </w:r>
      <w:proofErr w:type="spellEnd"/>
      <w:r w:rsidR="004B3D4F" w:rsidRPr="004968EB">
        <w:rPr>
          <w:rFonts w:ascii="Times New Roman" w:eastAsia="MS Mincho" w:hAnsi="Times New Roman"/>
          <w:sz w:val="24"/>
          <w:szCs w:val="24"/>
        </w:rPr>
        <w:t xml:space="preserve"> BE </w:t>
      </w:r>
      <w:proofErr w:type="spellStart"/>
      <w:r w:rsidR="004B3D4F" w:rsidRPr="004968EB">
        <w:rPr>
          <w:rFonts w:ascii="Times New Roman" w:eastAsia="MS Mincho" w:hAnsi="Times New Roman"/>
          <w:sz w:val="24"/>
          <w:szCs w:val="24"/>
        </w:rPr>
        <w:t>s</w:t>
      </w:r>
      <w:r w:rsidRPr="004968EB">
        <w:rPr>
          <w:rFonts w:ascii="Times New Roman" w:eastAsia="MS Mincho" w:hAnsi="Times New Roman"/>
          <w:sz w:val="24"/>
          <w:szCs w:val="24"/>
        </w:rPr>
        <w: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sistemit</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t</w:t>
      </w:r>
      <w:r w:rsidRPr="004968EB">
        <w:rPr>
          <w:rFonts w:ascii="Times New Roman" w:eastAsia="MS Mincho" w:hAnsi="Times New Roman"/>
          <w:sz w:val="24"/>
          <w:szCs w:val="24"/>
        </w:rPr>
        <w:t>ë</w:t>
      </w:r>
      <w:proofErr w:type="spellEnd"/>
      <w:r w:rsidR="004B3D4F" w:rsidRPr="004968EB">
        <w:rPr>
          <w:rFonts w:ascii="Times New Roman" w:eastAsia="MS Mincho" w:hAnsi="Times New Roman"/>
          <w:sz w:val="24"/>
          <w:szCs w:val="24"/>
        </w:rPr>
        <w:t xml:space="preserve"> </w:t>
      </w:r>
      <w:proofErr w:type="spellStart"/>
      <w:r w:rsidR="004B3D4F" w:rsidRPr="004968EB">
        <w:rPr>
          <w:rFonts w:ascii="Times New Roman" w:eastAsia="MS Mincho" w:hAnsi="Times New Roman"/>
          <w:sz w:val="24"/>
          <w:szCs w:val="24"/>
        </w:rPr>
        <w:t>ri</w:t>
      </w:r>
      <w:proofErr w:type="spellEnd"/>
      <w:r w:rsidR="004B3D4F" w:rsidRPr="004968EB">
        <w:rPr>
          <w:rFonts w:ascii="Times New Roman" w:eastAsia="MS Mincho" w:hAnsi="Times New Roman"/>
          <w:sz w:val="24"/>
          <w:szCs w:val="24"/>
        </w:rPr>
        <w:t xml:space="preserve"> CAMS.</w:t>
      </w:r>
    </w:p>
    <w:p w14:paraId="6E1D4273" w14:textId="76ADD019" w:rsidR="000E2546" w:rsidRPr="004968EB" w:rsidRDefault="000E2546" w:rsidP="004968EB">
      <w:pPr>
        <w:spacing w:after="0"/>
        <w:ind w:firstLine="360"/>
        <w:jc w:val="both"/>
        <w:rPr>
          <w:rFonts w:ascii="Times New Roman" w:hAnsi="Times New Roman"/>
          <w:sz w:val="24"/>
          <w:szCs w:val="24"/>
          <w:lang w:val="sq-AL"/>
        </w:rPr>
      </w:pPr>
    </w:p>
    <w:p w14:paraId="0515386F" w14:textId="77777777" w:rsidR="0024379B" w:rsidRPr="004968EB" w:rsidRDefault="0024379B" w:rsidP="004968EB">
      <w:pPr>
        <w:spacing w:after="0"/>
        <w:ind w:firstLine="360"/>
        <w:jc w:val="both"/>
        <w:rPr>
          <w:rFonts w:ascii="Times New Roman" w:hAnsi="Times New Roman"/>
          <w:sz w:val="24"/>
          <w:szCs w:val="24"/>
          <w:lang w:val="sq-AL"/>
        </w:rPr>
      </w:pPr>
    </w:p>
    <w:sectPr w:rsidR="0024379B" w:rsidRPr="004968EB" w:rsidSect="00EF633D">
      <w:footerReference w:type="default" r:id="rId8"/>
      <w:pgSz w:w="11906" w:h="16838"/>
      <w:pgMar w:top="113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82C9" w14:textId="77777777" w:rsidR="00D2539E" w:rsidRDefault="00D2539E" w:rsidP="00E67EC7">
      <w:pPr>
        <w:spacing w:after="0" w:line="240" w:lineRule="auto"/>
      </w:pPr>
      <w:r>
        <w:separator/>
      </w:r>
    </w:p>
  </w:endnote>
  <w:endnote w:type="continuationSeparator" w:id="0">
    <w:p w14:paraId="1478F5CB" w14:textId="77777777" w:rsidR="00D2539E" w:rsidRDefault="00D2539E" w:rsidP="00E6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55BF" w14:textId="7C674B41" w:rsidR="002377E5" w:rsidRDefault="002377E5">
    <w:pPr>
      <w:pStyle w:val="Footer"/>
      <w:jc w:val="right"/>
    </w:pPr>
    <w:r>
      <w:fldChar w:fldCharType="begin"/>
    </w:r>
    <w:r>
      <w:instrText xml:space="preserve"> PAGE   \* MERGEFORMAT </w:instrText>
    </w:r>
    <w:r>
      <w:fldChar w:fldCharType="separate"/>
    </w:r>
    <w:r w:rsidR="0030049F">
      <w:rPr>
        <w:noProof/>
      </w:rPr>
      <w:t>7</w:t>
    </w:r>
    <w:r>
      <w:rPr>
        <w:noProof/>
      </w:rPr>
      <w:fldChar w:fldCharType="end"/>
    </w:r>
  </w:p>
  <w:p w14:paraId="533E68D6" w14:textId="77777777" w:rsidR="002377E5" w:rsidRDefault="0023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7716" w14:textId="77777777" w:rsidR="00D2539E" w:rsidRDefault="00D2539E" w:rsidP="00E67EC7">
      <w:pPr>
        <w:spacing w:after="0" w:line="240" w:lineRule="auto"/>
      </w:pPr>
      <w:r>
        <w:separator/>
      </w:r>
    </w:p>
  </w:footnote>
  <w:footnote w:type="continuationSeparator" w:id="0">
    <w:p w14:paraId="2A971D75" w14:textId="77777777" w:rsidR="00D2539E" w:rsidRDefault="00D2539E" w:rsidP="00E67EC7">
      <w:pPr>
        <w:spacing w:after="0" w:line="240" w:lineRule="auto"/>
      </w:pPr>
      <w:r>
        <w:continuationSeparator/>
      </w:r>
    </w:p>
  </w:footnote>
  <w:footnote w:id="1">
    <w:p w14:paraId="225E3A0E" w14:textId="77777777" w:rsidR="002377E5" w:rsidRPr="00336B6F" w:rsidRDefault="002377E5" w:rsidP="00336B6F">
      <w:pPr>
        <w:pStyle w:val="FootnoteText"/>
        <w:spacing w:after="0" w:line="240" w:lineRule="auto"/>
        <w:jc w:val="both"/>
        <w:rPr>
          <w:sz w:val="16"/>
          <w:szCs w:val="16"/>
        </w:rPr>
      </w:pPr>
      <w:r w:rsidRPr="00336B6F">
        <w:rPr>
          <w:rStyle w:val="FootnoteReference"/>
          <w:sz w:val="16"/>
          <w:szCs w:val="16"/>
        </w:rPr>
        <w:footnoteRef/>
      </w:r>
      <w:r w:rsidRPr="00336B6F">
        <w:rPr>
          <w:sz w:val="16"/>
          <w:szCs w:val="16"/>
        </w:rPr>
        <w:t xml:space="preserve"> </w:t>
      </w:r>
      <w:r w:rsidRPr="00336B6F">
        <w:rPr>
          <w:rFonts w:eastAsia="Calibri"/>
          <w:noProof/>
          <w:sz w:val="16"/>
          <w:szCs w:val="16"/>
          <w:lang w:val="sq-AL"/>
        </w:rPr>
        <w:t>Në zbatim të pikës 2 të Manualit të Monitorimit Vjetor dhe Periodik të miratuar me vendimin nr.134/2018 të Kuvendit të Shqipërisë, paraqesim raportin përmbledhës të Raportit Vjetor të Prokurorit të Përgjithshëm “Mbi gjendjen e kriminalitetit për vitin 2022”</w:t>
      </w:r>
    </w:p>
  </w:footnote>
  <w:footnote w:id="2">
    <w:p w14:paraId="0BFA37CA" w14:textId="77777777" w:rsidR="002377E5" w:rsidRPr="0055014E" w:rsidRDefault="002377E5" w:rsidP="002616A8">
      <w:pPr>
        <w:pStyle w:val="FootnoteText"/>
        <w:jc w:val="both"/>
        <w:rPr>
          <w:sz w:val="18"/>
          <w:szCs w:val="18"/>
          <w:lang w:val="sq-AL"/>
        </w:rPr>
      </w:pPr>
      <w:r w:rsidRPr="0055014E">
        <w:rPr>
          <w:rStyle w:val="FootnoteReference"/>
          <w:sz w:val="18"/>
          <w:szCs w:val="18"/>
          <w:lang w:val="sq-AL"/>
        </w:rPr>
        <w:footnoteRef/>
      </w:r>
      <w:r w:rsidRPr="0055014E">
        <w:rPr>
          <w:sz w:val="18"/>
          <w:szCs w:val="18"/>
          <w:lang w:val="sq-AL"/>
        </w:rPr>
        <w:t xml:space="preserve"> Tek kjo shifër e materialeve të trajtuara përfshihen: procedimet e mbartura; procedimet e reja të regjistruara gjatë vitit 202</w:t>
      </w:r>
      <w:r>
        <w:rPr>
          <w:sz w:val="18"/>
          <w:szCs w:val="18"/>
          <w:lang w:val="sq-AL"/>
        </w:rPr>
        <w:t>3</w:t>
      </w:r>
      <w:r w:rsidRPr="0055014E">
        <w:rPr>
          <w:sz w:val="18"/>
          <w:szCs w:val="18"/>
          <w:lang w:val="sq-AL"/>
        </w:rPr>
        <w:t xml:space="preserve"> për veprat penale të parashikuara në Kodin Penal; procedimet e rifilluara gjatë vitit 202</w:t>
      </w:r>
      <w:r>
        <w:rPr>
          <w:sz w:val="18"/>
          <w:szCs w:val="18"/>
          <w:lang w:val="sq-AL"/>
        </w:rPr>
        <w:t>3</w:t>
      </w:r>
      <w:r w:rsidRPr="0055014E">
        <w:rPr>
          <w:sz w:val="18"/>
          <w:szCs w:val="18"/>
          <w:lang w:val="sq-AL"/>
        </w:rPr>
        <w:t>; si dhe vendimet e mosfillimit të marra gjatë vitit 202</w:t>
      </w:r>
      <w:r>
        <w:rPr>
          <w:sz w:val="18"/>
          <w:szCs w:val="18"/>
          <w:lang w:val="sq-AL"/>
        </w:rPr>
        <w:t>3 pa procedimet e regjistruara sipas kodit penal ushtarak.</w:t>
      </w:r>
    </w:p>
  </w:footnote>
  <w:footnote w:id="3">
    <w:p w14:paraId="7381C135" w14:textId="77777777" w:rsidR="002377E5" w:rsidRPr="0055014E" w:rsidRDefault="002377E5" w:rsidP="00AE27FB">
      <w:pPr>
        <w:tabs>
          <w:tab w:val="left" w:pos="3330"/>
          <w:tab w:val="left" w:pos="3420"/>
        </w:tabs>
        <w:spacing w:after="0" w:line="240" w:lineRule="auto"/>
        <w:jc w:val="both"/>
        <w:rPr>
          <w:sz w:val="18"/>
          <w:szCs w:val="18"/>
        </w:rPr>
      </w:pPr>
      <w:r w:rsidRPr="0055014E">
        <w:rPr>
          <w:rStyle w:val="FootnoteReference"/>
          <w:sz w:val="18"/>
          <w:szCs w:val="18"/>
        </w:rPr>
        <w:footnoteRef/>
      </w:r>
      <w:r w:rsidRPr="0055014E">
        <w:rPr>
          <w:sz w:val="18"/>
          <w:szCs w:val="18"/>
        </w:rPr>
        <w:t xml:space="preserve"> </w:t>
      </w:r>
      <w:r w:rsidRPr="00A61182">
        <w:rPr>
          <w:rFonts w:ascii="Times New Roman" w:hAnsi="Times New Roman"/>
          <w:sz w:val="18"/>
          <w:szCs w:val="18"/>
        </w:rPr>
        <w:t>Shih, “Marrëveshjen për bashkëpunimin ndërmjet Republikës së Shqipërisë dhe EUROJUST”, të ratifikuar nga Kuvendi i Shqipërisë me ligjin nr. 113/2018, në nenin 4 pika 1 parashikon: “</w:t>
      </w:r>
      <w:r w:rsidRPr="00A61182">
        <w:rPr>
          <w:rFonts w:ascii="Times New Roman" w:hAnsi="Times New Roman"/>
          <w:i/>
          <w:sz w:val="18"/>
          <w:szCs w:val="18"/>
        </w:rPr>
        <w:t>1.Autoriteti kompetent i Republikës së Shqipërisë për zbatimin e kësaj Marrëveshjeje është Prokuroria e Përgjithshme e Republikës së Shqipërisë</w:t>
      </w:r>
      <w:r w:rsidRPr="00A61182">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78D"/>
    <w:multiLevelType w:val="hybridMultilevel"/>
    <w:tmpl w:val="EB28DBFC"/>
    <w:lvl w:ilvl="0" w:tplc="9BA6DDD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AB0"/>
    <w:multiLevelType w:val="multilevel"/>
    <w:tmpl w:val="24844262"/>
    <w:lvl w:ilvl="0">
      <w:start w:val="1"/>
      <w:numFmt w:val="decimal"/>
      <w:lvlText w:val="%1."/>
      <w:lvlJc w:val="left"/>
      <w:pPr>
        <w:ind w:left="720" w:hanging="360"/>
      </w:pPr>
      <w:rPr>
        <w:rFonts w:hint="default"/>
        <w:b/>
      </w:rPr>
    </w:lvl>
    <w:lvl w:ilvl="1">
      <w:start w:val="2"/>
      <w:numFmt w:val="decimal"/>
      <w:isLgl/>
      <w:lvlText w:val="%1.%2"/>
      <w:lvlJc w:val="left"/>
      <w:pPr>
        <w:ind w:left="1440" w:hanging="360"/>
      </w:pPr>
      <w:rPr>
        <w:rFonts w:hint="default"/>
        <w:b/>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2" w15:restartNumberingAfterBreak="0">
    <w:nsid w:val="0F83506F"/>
    <w:multiLevelType w:val="multilevel"/>
    <w:tmpl w:val="124C75A2"/>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15:restartNumberingAfterBreak="0">
    <w:nsid w:val="154D5C19"/>
    <w:multiLevelType w:val="hybridMultilevel"/>
    <w:tmpl w:val="F31C1E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B6A12"/>
    <w:multiLevelType w:val="hybridMultilevel"/>
    <w:tmpl w:val="48A8B196"/>
    <w:lvl w:ilvl="0" w:tplc="5B345F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43AEF"/>
    <w:multiLevelType w:val="hybridMultilevel"/>
    <w:tmpl w:val="19B6BC94"/>
    <w:lvl w:ilvl="0" w:tplc="9538EE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727A4"/>
    <w:multiLevelType w:val="hybridMultilevel"/>
    <w:tmpl w:val="A2504D3A"/>
    <w:lvl w:ilvl="0" w:tplc="9BA6DDD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E1CE6"/>
    <w:multiLevelType w:val="hybridMultilevel"/>
    <w:tmpl w:val="9E0A77D8"/>
    <w:lvl w:ilvl="0" w:tplc="F5F8D7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67567"/>
    <w:multiLevelType w:val="hybridMultilevel"/>
    <w:tmpl w:val="34F4C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6F3E90"/>
    <w:multiLevelType w:val="hybridMultilevel"/>
    <w:tmpl w:val="079A09E4"/>
    <w:lvl w:ilvl="0" w:tplc="73DC49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95F5E"/>
    <w:multiLevelType w:val="hybridMultilevel"/>
    <w:tmpl w:val="45D2F8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7B3C38"/>
    <w:multiLevelType w:val="hybridMultilevel"/>
    <w:tmpl w:val="1E1C76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00F9A"/>
    <w:multiLevelType w:val="hybridMultilevel"/>
    <w:tmpl w:val="5F36F3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716E2E"/>
    <w:multiLevelType w:val="hybridMultilevel"/>
    <w:tmpl w:val="DBEA54C2"/>
    <w:lvl w:ilvl="0" w:tplc="4D9A5B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07E02"/>
    <w:multiLevelType w:val="hybridMultilevel"/>
    <w:tmpl w:val="DA5ED5F8"/>
    <w:lvl w:ilvl="0" w:tplc="80A0FA5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576A48B2"/>
    <w:multiLevelType w:val="hybridMultilevel"/>
    <w:tmpl w:val="6CC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74751"/>
    <w:multiLevelType w:val="hybridMultilevel"/>
    <w:tmpl w:val="32962B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3916FD"/>
    <w:multiLevelType w:val="hybridMultilevel"/>
    <w:tmpl w:val="4A0863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277B6"/>
    <w:multiLevelType w:val="hybridMultilevel"/>
    <w:tmpl w:val="229869EA"/>
    <w:lvl w:ilvl="0" w:tplc="E2C2C4EC">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num w:numId="1" w16cid:durableId="2069724202">
    <w:abstractNumId w:val="12"/>
  </w:num>
  <w:num w:numId="2" w16cid:durableId="56127688">
    <w:abstractNumId w:val="0"/>
  </w:num>
  <w:num w:numId="3" w16cid:durableId="1673215859">
    <w:abstractNumId w:val="10"/>
  </w:num>
  <w:num w:numId="4" w16cid:durableId="484205211">
    <w:abstractNumId w:val="6"/>
  </w:num>
  <w:num w:numId="5" w16cid:durableId="301689556">
    <w:abstractNumId w:val="14"/>
  </w:num>
  <w:num w:numId="6" w16cid:durableId="205725712">
    <w:abstractNumId w:val="11"/>
  </w:num>
  <w:num w:numId="7" w16cid:durableId="1024748564">
    <w:abstractNumId w:val="9"/>
  </w:num>
  <w:num w:numId="8" w16cid:durableId="1642422976">
    <w:abstractNumId w:val="15"/>
  </w:num>
  <w:num w:numId="9" w16cid:durableId="1417509952">
    <w:abstractNumId w:val="4"/>
  </w:num>
  <w:num w:numId="10" w16cid:durableId="487550210">
    <w:abstractNumId w:val="18"/>
  </w:num>
  <w:num w:numId="11" w16cid:durableId="1947425616">
    <w:abstractNumId w:val="8"/>
  </w:num>
  <w:num w:numId="12" w16cid:durableId="1063412870">
    <w:abstractNumId w:val="17"/>
  </w:num>
  <w:num w:numId="13" w16cid:durableId="1389959521">
    <w:abstractNumId w:val="16"/>
  </w:num>
  <w:num w:numId="14" w16cid:durableId="116147820">
    <w:abstractNumId w:val="5"/>
  </w:num>
  <w:num w:numId="15" w16cid:durableId="916286318">
    <w:abstractNumId w:val="3"/>
  </w:num>
  <w:num w:numId="16" w16cid:durableId="610167001">
    <w:abstractNumId w:val="2"/>
  </w:num>
  <w:num w:numId="17" w16cid:durableId="643044765">
    <w:abstractNumId w:val="7"/>
  </w:num>
  <w:num w:numId="18" w16cid:durableId="1342662129">
    <w:abstractNumId w:val="1"/>
  </w:num>
  <w:num w:numId="19" w16cid:durableId="12082939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hideSpellingErrors/>
  <w:activeWritingStyle w:appName="MSWord" w:lang="en-US" w:vendorID="64" w:dllVersion="6" w:nlCheck="1" w:checkStyle="0"/>
  <w:activeWritingStyle w:appName="MSWord" w:lang="en-GB" w:vendorID="64" w:dllVersion="6" w:nlCheck="1" w:checkStyle="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C7"/>
    <w:rsid w:val="000033B0"/>
    <w:rsid w:val="0000555F"/>
    <w:rsid w:val="00023320"/>
    <w:rsid w:val="0003056A"/>
    <w:rsid w:val="00036DAE"/>
    <w:rsid w:val="00043A04"/>
    <w:rsid w:val="00057A76"/>
    <w:rsid w:val="000664FE"/>
    <w:rsid w:val="00066A65"/>
    <w:rsid w:val="000752B5"/>
    <w:rsid w:val="00076646"/>
    <w:rsid w:val="00087B7D"/>
    <w:rsid w:val="000A02D6"/>
    <w:rsid w:val="000C324B"/>
    <w:rsid w:val="000C5EA2"/>
    <w:rsid w:val="000D0832"/>
    <w:rsid w:val="000D0C30"/>
    <w:rsid w:val="000E2546"/>
    <w:rsid w:val="000F06DF"/>
    <w:rsid w:val="000F06FD"/>
    <w:rsid w:val="000F0796"/>
    <w:rsid w:val="000F77D1"/>
    <w:rsid w:val="001007BD"/>
    <w:rsid w:val="00105FF0"/>
    <w:rsid w:val="00122E05"/>
    <w:rsid w:val="0012626C"/>
    <w:rsid w:val="0013672D"/>
    <w:rsid w:val="00144455"/>
    <w:rsid w:val="00145368"/>
    <w:rsid w:val="00153295"/>
    <w:rsid w:val="001571E4"/>
    <w:rsid w:val="00163F4C"/>
    <w:rsid w:val="001710A9"/>
    <w:rsid w:val="001820CF"/>
    <w:rsid w:val="00183D6D"/>
    <w:rsid w:val="00186CB6"/>
    <w:rsid w:val="00190935"/>
    <w:rsid w:val="001A2F1C"/>
    <w:rsid w:val="001B2B7A"/>
    <w:rsid w:val="001B332A"/>
    <w:rsid w:val="001C1462"/>
    <w:rsid w:val="001D0F5A"/>
    <w:rsid w:val="001D542D"/>
    <w:rsid w:val="001E028D"/>
    <w:rsid w:val="001E4957"/>
    <w:rsid w:val="001F09C1"/>
    <w:rsid w:val="001F6282"/>
    <w:rsid w:val="00200ED2"/>
    <w:rsid w:val="00231660"/>
    <w:rsid w:val="002377E5"/>
    <w:rsid w:val="0024379B"/>
    <w:rsid w:val="002616A8"/>
    <w:rsid w:val="0026362A"/>
    <w:rsid w:val="002733DC"/>
    <w:rsid w:val="00275C80"/>
    <w:rsid w:val="00297023"/>
    <w:rsid w:val="002D42E3"/>
    <w:rsid w:val="002E28B2"/>
    <w:rsid w:val="002E5F35"/>
    <w:rsid w:val="002F2229"/>
    <w:rsid w:val="002F3307"/>
    <w:rsid w:val="002F486C"/>
    <w:rsid w:val="002F57BA"/>
    <w:rsid w:val="0030049F"/>
    <w:rsid w:val="00301343"/>
    <w:rsid w:val="00303A50"/>
    <w:rsid w:val="00313D3B"/>
    <w:rsid w:val="00316A9D"/>
    <w:rsid w:val="003278CC"/>
    <w:rsid w:val="003308DE"/>
    <w:rsid w:val="003311F0"/>
    <w:rsid w:val="00336B6F"/>
    <w:rsid w:val="00340949"/>
    <w:rsid w:val="00346063"/>
    <w:rsid w:val="00347C88"/>
    <w:rsid w:val="00353E0D"/>
    <w:rsid w:val="003638D0"/>
    <w:rsid w:val="00364BD7"/>
    <w:rsid w:val="00380A50"/>
    <w:rsid w:val="00380B3A"/>
    <w:rsid w:val="003830AE"/>
    <w:rsid w:val="00383CB1"/>
    <w:rsid w:val="003843A6"/>
    <w:rsid w:val="00393192"/>
    <w:rsid w:val="0039460E"/>
    <w:rsid w:val="003A667A"/>
    <w:rsid w:val="003B2750"/>
    <w:rsid w:val="003B4945"/>
    <w:rsid w:val="003C5813"/>
    <w:rsid w:val="003C5AD6"/>
    <w:rsid w:val="003D0D79"/>
    <w:rsid w:val="003D4B21"/>
    <w:rsid w:val="003D7CD3"/>
    <w:rsid w:val="003E2DD6"/>
    <w:rsid w:val="003E6672"/>
    <w:rsid w:val="003F7631"/>
    <w:rsid w:val="00410BD6"/>
    <w:rsid w:val="004263AE"/>
    <w:rsid w:val="00427BFC"/>
    <w:rsid w:val="0043065B"/>
    <w:rsid w:val="0043348E"/>
    <w:rsid w:val="0043761A"/>
    <w:rsid w:val="00442360"/>
    <w:rsid w:val="00447416"/>
    <w:rsid w:val="00454E57"/>
    <w:rsid w:val="00461C94"/>
    <w:rsid w:val="00473422"/>
    <w:rsid w:val="00486468"/>
    <w:rsid w:val="004949A2"/>
    <w:rsid w:val="004968EB"/>
    <w:rsid w:val="004A1872"/>
    <w:rsid w:val="004A73D7"/>
    <w:rsid w:val="004A7661"/>
    <w:rsid w:val="004A779C"/>
    <w:rsid w:val="004B013F"/>
    <w:rsid w:val="004B3D4F"/>
    <w:rsid w:val="004C24DE"/>
    <w:rsid w:val="004C7D22"/>
    <w:rsid w:val="004D4A3F"/>
    <w:rsid w:val="005045A8"/>
    <w:rsid w:val="00526062"/>
    <w:rsid w:val="00534EF5"/>
    <w:rsid w:val="00542778"/>
    <w:rsid w:val="00542AED"/>
    <w:rsid w:val="005433F6"/>
    <w:rsid w:val="00550F45"/>
    <w:rsid w:val="00551B62"/>
    <w:rsid w:val="00552CB3"/>
    <w:rsid w:val="00557119"/>
    <w:rsid w:val="00571E86"/>
    <w:rsid w:val="005803C6"/>
    <w:rsid w:val="0058771D"/>
    <w:rsid w:val="00596CDD"/>
    <w:rsid w:val="005A0EAC"/>
    <w:rsid w:val="005A4A72"/>
    <w:rsid w:val="005B32AA"/>
    <w:rsid w:val="005B4B1F"/>
    <w:rsid w:val="005B7A8C"/>
    <w:rsid w:val="005C70F8"/>
    <w:rsid w:val="005D3D93"/>
    <w:rsid w:val="005E6F77"/>
    <w:rsid w:val="005F2AED"/>
    <w:rsid w:val="00602C1A"/>
    <w:rsid w:val="00604392"/>
    <w:rsid w:val="00604FA9"/>
    <w:rsid w:val="0061008D"/>
    <w:rsid w:val="006162F2"/>
    <w:rsid w:val="00624834"/>
    <w:rsid w:val="00636973"/>
    <w:rsid w:val="00642F2B"/>
    <w:rsid w:val="00644749"/>
    <w:rsid w:val="00647520"/>
    <w:rsid w:val="00647E1D"/>
    <w:rsid w:val="00652CCE"/>
    <w:rsid w:val="00662680"/>
    <w:rsid w:val="0066554C"/>
    <w:rsid w:val="006753CC"/>
    <w:rsid w:val="0067679F"/>
    <w:rsid w:val="006804EC"/>
    <w:rsid w:val="00692962"/>
    <w:rsid w:val="006B1519"/>
    <w:rsid w:val="006C2FF3"/>
    <w:rsid w:val="006E0566"/>
    <w:rsid w:val="006E160A"/>
    <w:rsid w:val="006E2BB0"/>
    <w:rsid w:val="006F0962"/>
    <w:rsid w:val="006F32EF"/>
    <w:rsid w:val="006F4957"/>
    <w:rsid w:val="006F4E3A"/>
    <w:rsid w:val="006F609C"/>
    <w:rsid w:val="0071211C"/>
    <w:rsid w:val="007266CE"/>
    <w:rsid w:val="00731A76"/>
    <w:rsid w:val="00731FB2"/>
    <w:rsid w:val="007546BB"/>
    <w:rsid w:val="00764952"/>
    <w:rsid w:val="007847DE"/>
    <w:rsid w:val="0079373C"/>
    <w:rsid w:val="007A1135"/>
    <w:rsid w:val="007A677B"/>
    <w:rsid w:val="007B0569"/>
    <w:rsid w:val="007B3740"/>
    <w:rsid w:val="007B7016"/>
    <w:rsid w:val="007C1982"/>
    <w:rsid w:val="007C6C56"/>
    <w:rsid w:val="007D0FA6"/>
    <w:rsid w:val="007F7FCD"/>
    <w:rsid w:val="0080437E"/>
    <w:rsid w:val="00814ADE"/>
    <w:rsid w:val="00817159"/>
    <w:rsid w:val="00833A50"/>
    <w:rsid w:val="008528D7"/>
    <w:rsid w:val="008670DB"/>
    <w:rsid w:val="008939BC"/>
    <w:rsid w:val="00893C47"/>
    <w:rsid w:val="008B1F27"/>
    <w:rsid w:val="008C5E67"/>
    <w:rsid w:val="008E01D9"/>
    <w:rsid w:val="008E5012"/>
    <w:rsid w:val="008E6613"/>
    <w:rsid w:val="00917BDD"/>
    <w:rsid w:val="00923856"/>
    <w:rsid w:val="0092634F"/>
    <w:rsid w:val="00930A16"/>
    <w:rsid w:val="0094716F"/>
    <w:rsid w:val="009474C0"/>
    <w:rsid w:val="00970C45"/>
    <w:rsid w:val="00975167"/>
    <w:rsid w:val="00983D65"/>
    <w:rsid w:val="009A2F36"/>
    <w:rsid w:val="009A73CB"/>
    <w:rsid w:val="009A73D7"/>
    <w:rsid w:val="009C07F0"/>
    <w:rsid w:val="009D4B49"/>
    <w:rsid w:val="009F1980"/>
    <w:rsid w:val="009F389E"/>
    <w:rsid w:val="009F78F7"/>
    <w:rsid w:val="00A005CB"/>
    <w:rsid w:val="00A0278E"/>
    <w:rsid w:val="00A1592A"/>
    <w:rsid w:val="00A16744"/>
    <w:rsid w:val="00A175AF"/>
    <w:rsid w:val="00A20AD2"/>
    <w:rsid w:val="00A361AF"/>
    <w:rsid w:val="00A36C7D"/>
    <w:rsid w:val="00A44281"/>
    <w:rsid w:val="00A4586C"/>
    <w:rsid w:val="00A5696A"/>
    <w:rsid w:val="00A60951"/>
    <w:rsid w:val="00A63129"/>
    <w:rsid w:val="00A7017E"/>
    <w:rsid w:val="00A77AFD"/>
    <w:rsid w:val="00A85988"/>
    <w:rsid w:val="00A9419D"/>
    <w:rsid w:val="00AA0D50"/>
    <w:rsid w:val="00AA5429"/>
    <w:rsid w:val="00AC0B45"/>
    <w:rsid w:val="00AE254D"/>
    <w:rsid w:val="00AE27FB"/>
    <w:rsid w:val="00AE7D8C"/>
    <w:rsid w:val="00AF3FE6"/>
    <w:rsid w:val="00B21E24"/>
    <w:rsid w:val="00B25226"/>
    <w:rsid w:val="00B27426"/>
    <w:rsid w:val="00B31A7F"/>
    <w:rsid w:val="00B35256"/>
    <w:rsid w:val="00B37BD0"/>
    <w:rsid w:val="00B41E36"/>
    <w:rsid w:val="00B46E29"/>
    <w:rsid w:val="00B472A6"/>
    <w:rsid w:val="00B572DC"/>
    <w:rsid w:val="00B7470C"/>
    <w:rsid w:val="00B75868"/>
    <w:rsid w:val="00B9411D"/>
    <w:rsid w:val="00BA44AF"/>
    <w:rsid w:val="00BB3DBA"/>
    <w:rsid w:val="00BD1006"/>
    <w:rsid w:val="00BD130C"/>
    <w:rsid w:val="00BE1BDD"/>
    <w:rsid w:val="00BE2AA8"/>
    <w:rsid w:val="00BE5AC8"/>
    <w:rsid w:val="00BE7232"/>
    <w:rsid w:val="00BF41BA"/>
    <w:rsid w:val="00BF7CC1"/>
    <w:rsid w:val="00C03D43"/>
    <w:rsid w:val="00C1476B"/>
    <w:rsid w:val="00C221F0"/>
    <w:rsid w:val="00C31372"/>
    <w:rsid w:val="00C332A4"/>
    <w:rsid w:val="00C36D9B"/>
    <w:rsid w:val="00C36EE6"/>
    <w:rsid w:val="00C506FB"/>
    <w:rsid w:val="00C52020"/>
    <w:rsid w:val="00C530B2"/>
    <w:rsid w:val="00C56DBC"/>
    <w:rsid w:val="00C82894"/>
    <w:rsid w:val="00C9424D"/>
    <w:rsid w:val="00CA0A31"/>
    <w:rsid w:val="00CB0072"/>
    <w:rsid w:val="00CD230B"/>
    <w:rsid w:val="00CE5C2F"/>
    <w:rsid w:val="00D0165D"/>
    <w:rsid w:val="00D0777F"/>
    <w:rsid w:val="00D10441"/>
    <w:rsid w:val="00D16986"/>
    <w:rsid w:val="00D22C27"/>
    <w:rsid w:val="00D2539E"/>
    <w:rsid w:val="00D306FD"/>
    <w:rsid w:val="00D307A1"/>
    <w:rsid w:val="00D31040"/>
    <w:rsid w:val="00D464B2"/>
    <w:rsid w:val="00D5237E"/>
    <w:rsid w:val="00D53656"/>
    <w:rsid w:val="00D54380"/>
    <w:rsid w:val="00D7406B"/>
    <w:rsid w:val="00DC2637"/>
    <w:rsid w:val="00DD20A9"/>
    <w:rsid w:val="00DD286C"/>
    <w:rsid w:val="00DD3108"/>
    <w:rsid w:val="00DD3467"/>
    <w:rsid w:val="00DD4C92"/>
    <w:rsid w:val="00DE6B6D"/>
    <w:rsid w:val="00DF65DF"/>
    <w:rsid w:val="00E1189A"/>
    <w:rsid w:val="00E2450F"/>
    <w:rsid w:val="00E262DE"/>
    <w:rsid w:val="00E412AD"/>
    <w:rsid w:val="00E43B8C"/>
    <w:rsid w:val="00E50E24"/>
    <w:rsid w:val="00E52876"/>
    <w:rsid w:val="00E53E14"/>
    <w:rsid w:val="00E60A23"/>
    <w:rsid w:val="00E61C9C"/>
    <w:rsid w:val="00E64005"/>
    <w:rsid w:val="00E67EC7"/>
    <w:rsid w:val="00E731AD"/>
    <w:rsid w:val="00E84630"/>
    <w:rsid w:val="00E87419"/>
    <w:rsid w:val="00E901A0"/>
    <w:rsid w:val="00E954D1"/>
    <w:rsid w:val="00EA0847"/>
    <w:rsid w:val="00EB2A41"/>
    <w:rsid w:val="00EC7847"/>
    <w:rsid w:val="00ED032F"/>
    <w:rsid w:val="00ED049B"/>
    <w:rsid w:val="00ED2E72"/>
    <w:rsid w:val="00ED2EDC"/>
    <w:rsid w:val="00EF387A"/>
    <w:rsid w:val="00EF633D"/>
    <w:rsid w:val="00F04920"/>
    <w:rsid w:val="00F107A0"/>
    <w:rsid w:val="00F21731"/>
    <w:rsid w:val="00F33292"/>
    <w:rsid w:val="00F410FF"/>
    <w:rsid w:val="00F460B6"/>
    <w:rsid w:val="00F50A4B"/>
    <w:rsid w:val="00F867DC"/>
    <w:rsid w:val="00F9264E"/>
    <w:rsid w:val="00FA61B5"/>
    <w:rsid w:val="00FC7C52"/>
    <w:rsid w:val="00FE7D7D"/>
    <w:rsid w:val="00FF03D9"/>
    <w:rsid w:val="00FF1D6E"/>
    <w:rsid w:val="00FF3316"/>
    <w:rsid w:val="00FF441B"/>
    <w:rsid w:val="00FF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C81F"/>
  <w15:docId w15:val="{A82B4E7B-38B7-423D-BFD3-44860B57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7EC7"/>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locked/>
    <w:rsid w:val="00E67EC7"/>
    <w:rPr>
      <w:rFonts w:ascii="Calibri" w:eastAsia="Calibri" w:hAnsi="Calibri" w:cs="Times New Roman"/>
      <w:sz w:val="20"/>
      <w:szCs w:val="20"/>
    </w:rPr>
  </w:style>
  <w:style w:type="paragraph" w:styleId="ListParagraph">
    <w:name w:val="List Paragraph"/>
    <w:aliases w:val="Normal 1,Dot pt,List Paragraph1,F5 List Paragraph,List Paragraph Char Char Char,Indicator Text,Colorful List - Accent 11,Numbered Para 1,Bullet 1,Bullet Points,MAIN CONTENT,Párrafo de lista,Recommendation,List Paragraph2,List Paragraph 1"/>
    <w:basedOn w:val="Normal"/>
    <w:link w:val="ListParagraphChar"/>
    <w:uiPriority w:val="34"/>
    <w:qFormat/>
    <w:rsid w:val="00E67EC7"/>
    <w:pPr>
      <w:ind w:left="720"/>
      <w:contextualSpacing/>
    </w:pPr>
    <w:rPr>
      <w:sz w:val="20"/>
      <w:szCs w:val="20"/>
    </w:rPr>
  </w:style>
  <w:style w:type="paragraph" w:styleId="FootnoteText">
    <w:name w:val="footnote text"/>
    <w:aliases w:val="Текст сноски Знак Знак Знак Char,Текст сноски Знак Знак Char,Текст сноски Знак Знак Знак,Текст сноски Знак Знак,Footnote Text1,footnote text"/>
    <w:basedOn w:val="Normal"/>
    <w:link w:val="FootnoteTextChar"/>
    <w:uiPriority w:val="99"/>
    <w:unhideWhenUsed/>
    <w:rsid w:val="00E67EC7"/>
    <w:rPr>
      <w:rFonts w:ascii="Times New Roman" w:eastAsia="Times New Roman" w:hAnsi="Times New Roman"/>
      <w:sz w:val="20"/>
      <w:szCs w:val="20"/>
    </w:rPr>
  </w:style>
  <w:style w:type="character" w:customStyle="1" w:styleId="FootnoteTextChar">
    <w:name w:val="Footnote Text Char"/>
    <w:aliases w:val="Текст сноски Знак Знак Знак Char Char,Текст сноски Знак Знак Char Char,Текст сноски Знак Знак Знак Char1,Текст сноски Знак Знак Char1,Footnote Text1 Char,footnote text Char"/>
    <w:basedOn w:val="DefaultParagraphFont"/>
    <w:link w:val="FootnoteText"/>
    <w:rsid w:val="00E67EC7"/>
    <w:rPr>
      <w:rFonts w:ascii="Times New Roman" w:eastAsia="Times New Roman" w:hAnsi="Times New Roman" w:cs="Times New Roman"/>
      <w:sz w:val="20"/>
      <w:szCs w:val="20"/>
    </w:rPr>
  </w:style>
  <w:style w:type="character" w:styleId="FootnoteReference">
    <w:name w:val="footnote reference"/>
    <w:aliases w:val="ftref Char Char,fr Char Char,BVI fnr Char Char,Footnote symbol Char Char,Footnote Reference Arial Char Char,Car Char Car Char Car Char Char Char Char Char Char Char Char Char,Footnote Refernece Char Char Char Char,BVI fnr,fr"/>
    <w:link w:val="ftrefChar"/>
    <w:uiPriority w:val="99"/>
    <w:unhideWhenUsed/>
    <w:qFormat/>
    <w:rsid w:val="00E67EC7"/>
    <w:rPr>
      <w:vertAlign w:val="superscript"/>
    </w:rPr>
  </w:style>
  <w:style w:type="character" w:customStyle="1" w:styleId="ListParagraphChar">
    <w:name w:val="List Paragraph Char"/>
    <w:aliases w:val="Normal 1 Char,Dot pt Char,List Paragraph1 Char,F5 List Paragraph Char,List Paragraph Char Char Char Char,Indicator Text Char,Colorful List - Accent 11 Char,Numbered Para 1 Char,Bullet 1 Char,Bullet Points Char,MAIN CONTENT Char"/>
    <w:link w:val="ListParagraph"/>
    <w:uiPriority w:val="34"/>
    <w:qFormat/>
    <w:locked/>
    <w:rsid w:val="00E67EC7"/>
    <w:rPr>
      <w:rFonts w:ascii="Calibri" w:eastAsia="Calibri" w:hAnsi="Calibri" w:cs="Times New Roman"/>
      <w:sz w:val="20"/>
      <w:szCs w:val="20"/>
    </w:rPr>
  </w:style>
  <w:style w:type="paragraph" w:styleId="Header">
    <w:name w:val="header"/>
    <w:basedOn w:val="Normal"/>
    <w:link w:val="HeaderChar"/>
    <w:uiPriority w:val="99"/>
    <w:unhideWhenUsed/>
    <w:rsid w:val="00E67EC7"/>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E67EC7"/>
    <w:rPr>
      <w:rFonts w:ascii="Calibri" w:eastAsia="Calibri" w:hAnsi="Calibri" w:cs="Times New Roman"/>
      <w:sz w:val="20"/>
      <w:szCs w:val="20"/>
    </w:rPr>
  </w:style>
  <w:style w:type="paragraph" w:styleId="Footer">
    <w:name w:val="footer"/>
    <w:basedOn w:val="Normal"/>
    <w:link w:val="FooterChar"/>
    <w:uiPriority w:val="99"/>
    <w:unhideWhenUsed/>
    <w:rsid w:val="00E67EC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E67EC7"/>
    <w:rPr>
      <w:rFonts w:ascii="Calibri" w:eastAsia="Calibri" w:hAnsi="Calibri" w:cs="Times New Roman"/>
      <w:sz w:val="20"/>
      <w:szCs w:val="20"/>
    </w:rPr>
  </w:style>
  <w:style w:type="character" w:styleId="CommentReference">
    <w:name w:val="annotation reference"/>
    <w:uiPriority w:val="99"/>
    <w:semiHidden/>
    <w:unhideWhenUsed/>
    <w:rsid w:val="00E67EC7"/>
    <w:rPr>
      <w:sz w:val="16"/>
      <w:szCs w:val="16"/>
    </w:rPr>
  </w:style>
  <w:style w:type="paragraph" w:styleId="CommentText">
    <w:name w:val="annotation text"/>
    <w:basedOn w:val="Normal"/>
    <w:link w:val="CommentTextChar"/>
    <w:uiPriority w:val="99"/>
    <w:unhideWhenUsed/>
    <w:qFormat/>
    <w:rsid w:val="00E67EC7"/>
    <w:pPr>
      <w:spacing w:line="240" w:lineRule="auto"/>
    </w:pPr>
    <w:rPr>
      <w:sz w:val="20"/>
      <w:szCs w:val="20"/>
    </w:rPr>
  </w:style>
  <w:style w:type="character" w:customStyle="1" w:styleId="CommentTextChar">
    <w:name w:val="Comment Text Char"/>
    <w:basedOn w:val="DefaultParagraphFont"/>
    <w:link w:val="CommentText"/>
    <w:uiPriority w:val="99"/>
    <w:qFormat/>
    <w:rsid w:val="00E67EC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7EC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67EC7"/>
    <w:rPr>
      <w:rFonts w:ascii="Tahoma" w:eastAsia="Calibri" w:hAnsi="Tahoma" w:cs="Times New Roman"/>
      <w:sz w:val="16"/>
      <w:szCs w:val="16"/>
    </w:rPr>
  </w:style>
  <w:style w:type="paragraph" w:customStyle="1" w:styleId="Default">
    <w:name w:val="Default"/>
    <w:rsid w:val="00E67EC7"/>
    <w:pPr>
      <w:autoSpaceDE w:val="0"/>
      <w:autoSpaceDN w:val="0"/>
      <w:adjustRightInd w:val="0"/>
      <w:spacing w:after="0" w:line="240" w:lineRule="auto"/>
    </w:pPr>
    <w:rPr>
      <w:rFonts w:ascii="CG Times" w:eastAsia="Calibri" w:hAnsi="CG Times" w:cs="CG Times"/>
      <w:color w:val="000000"/>
      <w:sz w:val="24"/>
      <w:szCs w:val="24"/>
    </w:rPr>
  </w:style>
  <w:style w:type="paragraph" w:styleId="CommentSubject">
    <w:name w:val="annotation subject"/>
    <w:basedOn w:val="CommentText"/>
    <w:next w:val="CommentText"/>
    <w:link w:val="CommentSubjectChar"/>
    <w:uiPriority w:val="99"/>
    <w:semiHidden/>
    <w:unhideWhenUsed/>
    <w:rsid w:val="00E67EC7"/>
    <w:rPr>
      <w:b/>
      <w:bCs/>
    </w:rPr>
  </w:style>
  <w:style w:type="character" w:customStyle="1" w:styleId="CommentSubjectChar">
    <w:name w:val="Comment Subject Char"/>
    <w:basedOn w:val="CommentTextChar"/>
    <w:link w:val="CommentSubject"/>
    <w:uiPriority w:val="99"/>
    <w:semiHidden/>
    <w:rsid w:val="00E67EC7"/>
    <w:rPr>
      <w:rFonts w:ascii="Calibri" w:eastAsia="Calibri" w:hAnsi="Calibri" w:cs="Times New Roman"/>
      <w:b/>
      <w:bCs/>
      <w:sz w:val="20"/>
      <w:szCs w:val="20"/>
    </w:rPr>
  </w:style>
  <w:style w:type="character" w:customStyle="1" w:styleId="y2iqfc">
    <w:name w:val="y2iqfc"/>
    <w:basedOn w:val="DefaultParagraphFont"/>
    <w:rsid w:val="00E67EC7"/>
  </w:style>
  <w:style w:type="character" w:customStyle="1" w:styleId="FootnoteTextChar1">
    <w:name w:val="Footnote Text Char1"/>
    <w:uiPriority w:val="99"/>
    <w:rsid w:val="00E67EC7"/>
    <w:rPr>
      <w:rFonts w:ascii="Calibri" w:eastAsia="Calibri" w:hAnsi="Calibri" w:cs="Times New Roman"/>
      <w:sz w:val="20"/>
      <w:szCs w:val="20"/>
    </w:rPr>
  </w:style>
  <w:style w:type="character" w:styleId="Hyperlink">
    <w:name w:val="Hyperlink"/>
    <w:uiPriority w:val="99"/>
    <w:unhideWhenUsed/>
    <w:rsid w:val="00145368"/>
    <w:rPr>
      <w:color w:val="0000FF"/>
      <w:u w:val="single"/>
    </w:rPr>
  </w:style>
  <w:style w:type="paragraph" w:styleId="HTMLPreformatted">
    <w:name w:val="HTML Preformatted"/>
    <w:basedOn w:val="Normal"/>
    <w:link w:val="HTMLPreformattedChar"/>
    <w:uiPriority w:val="99"/>
    <w:unhideWhenUsed/>
    <w:rsid w:val="00DD2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DD20A9"/>
    <w:rPr>
      <w:rFonts w:ascii="Courier New" w:eastAsia="Times New Roman" w:hAnsi="Courier New" w:cs="Times New Roman"/>
      <w:sz w:val="20"/>
      <w:szCs w:val="20"/>
    </w:rPr>
  </w:style>
  <w:style w:type="character" w:customStyle="1" w:styleId="rynqvb">
    <w:name w:val="rynqvb"/>
    <w:basedOn w:val="DefaultParagraphFont"/>
    <w:rsid w:val="00DD4C92"/>
  </w:style>
  <w:style w:type="character" w:customStyle="1" w:styleId="hwtze">
    <w:name w:val="hwtze"/>
    <w:rsid w:val="00DD4C92"/>
  </w:style>
  <w:style w:type="character" w:customStyle="1" w:styleId="markedcontent">
    <w:name w:val="markedcontent"/>
    <w:basedOn w:val="DefaultParagraphFont"/>
    <w:rsid w:val="00731FB2"/>
  </w:style>
  <w:style w:type="paragraph" w:customStyle="1" w:styleId="ftrefChar">
    <w:name w:val="ftref Char"/>
    <w:aliases w:val="fr Char,BVI fnr Char,Footnote symbol Char,Footnote Reference Arial Char,Car Char Car Char Car Char Char Char Char Char Char Char Char,Footnote Refernece Char Char Char,Footnote Refernece Char Char"/>
    <w:basedOn w:val="Normal"/>
    <w:link w:val="FootnoteReference"/>
    <w:uiPriority w:val="99"/>
    <w:rsid w:val="002616A8"/>
    <w:pPr>
      <w:spacing w:after="160" w:line="240" w:lineRule="exact"/>
    </w:pPr>
    <w:rPr>
      <w:rFonts w:asciiTheme="minorHAnsi" w:eastAsiaTheme="minorHAnsi" w:hAnsiTheme="minorHAnsi" w:cstheme="minorBidi"/>
      <w:vertAlign w:val="superscript"/>
    </w:rPr>
  </w:style>
  <w:style w:type="table" w:styleId="GridTable1LightAccent2">
    <w:name w:val="Grid Table 1 Light Accent 2"/>
    <w:basedOn w:val="TableNormal"/>
    <w:uiPriority w:val="46"/>
    <w:rsid w:val="002E5F3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B9FA-0CA8-4513-86F3-5B4534B77B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Kujtim Luli</dc:creator>
  <cp:lastModifiedBy>Rozeta Tase</cp:lastModifiedBy>
  <cp:revision>2</cp:revision>
  <cp:lastPrinted>2023-05-09T08:42:00Z</cp:lastPrinted>
  <dcterms:created xsi:type="dcterms:W3CDTF">2024-05-14T08:28:00Z</dcterms:created>
  <dcterms:modified xsi:type="dcterms:W3CDTF">2024-05-14T08:28:00Z</dcterms:modified>
</cp:coreProperties>
</file>